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39" w:tblpY="215"/>
        <w:tblW w:w="5000" w:type="pct"/>
        <w:tblLook w:val="04A0" w:firstRow="1" w:lastRow="0" w:firstColumn="1" w:lastColumn="0" w:noHBand="0" w:noVBand="1"/>
      </w:tblPr>
      <w:tblGrid>
        <w:gridCol w:w="733"/>
        <w:gridCol w:w="4038"/>
        <w:gridCol w:w="2205"/>
        <w:gridCol w:w="1833"/>
        <w:gridCol w:w="4038"/>
        <w:gridCol w:w="1105"/>
        <w:gridCol w:w="2934"/>
        <w:gridCol w:w="4038"/>
      </w:tblGrid>
      <w:tr w:rsidR="00BB0AE0" w:rsidRPr="006B778C" w:rsidTr="001458E1">
        <w:trPr>
          <w:trHeight w:val="132"/>
        </w:trPr>
        <w:tc>
          <w:tcPr>
            <w:tcW w:w="5000" w:type="pct"/>
            <w:gridSpan w:val="8"/>
            <w:vAlign w:val="center"/>
          </w:tcPr>
          <w:p w:rsidR="00BB0AE0" w:rsidRPr="006B778C" w:rsidRDefault="00BB0AE0" w:rsidP="001458E1">
            <w:pPr>
              <w:tabs>
                <w:tab w:val="center" w:pos="10377"/>
              </w:tabs>
              <w:spacing w:before="120"/>
              <w:rPr>
                <w:b/>
                <w:sz w:val="24"/>
                <w:szCs w:val="24"/>
              </w:rPr>
            </w:pPr>
            <w:r w:rsidRPr="006B778C">
              <w:rPr>
                <w:b/>
                <w:sz w:val="24"/>
                <w:szCs w:val="24"/>
              </w:rPr>
              <w:t xml:space="preserve">Year level: </w:t>
            </w:r>
            <w:r>
              <w:rPr>
                <w:b/>
                <w:sz w:val="24"/>
                <w:szCs w:val="24"/>
              </w:rPr>
              <w:t>1/2/3</w:t>
            </w:r>
            <w:r w:rsidR="001458E1">
              <w:rPr>
                <w:b/>
                <w:sz w:val="24"/>
                <w:szCs w:val="24"/>
              </w:rPr>
              <w:tab/>
            </w:r>
            <w:r w:rsidRPr="006B778C">
              <w:rPr>
                <w:b/>
                <w:sz w:val="24"/>
                <w:szCs w:val="24"/>
              </w:rPr>
              <w:t xml:space="preserve">Learning Area: </w:t>
            </w:r>
            <w:r>
              <w:rPr>
                <w:b/>
                <w:sz w:val="24"/>
                <w:szCs w:val="24"/>
              </w:rPr>
              <w:t>English</w:t>
            </w:r>
          </w:p>
        </w:tc>
      </w:tr>
      <w:tr w:rsidR="00BB0AE0" w:rsidTr="008C4E3D">
        <w:trPr>
          <w:trHeight w:val="459"/>
        </w:trPr>
        <w:tc>
          <w:tcPr>
            <w:tcW w:w="1667" w:type="pct"/>
            <w:gridSpan w:val="3"/>
            <w:shd w:val="clear" w:color="auto" w:fill="582C71"/>
          </w:tcPr>
          <w:p w:rsidR="00BB0AE0" w:rsidRPr="008C4E3D" w:rsidRDefault="00BB0AE0" w:rsidP="001458E1">
            <w:pPr>
              <w:spacing w:before="120"/>
              <w:jc w:val="center"/>
              <w:rPr>
                <w:b/>
                <w:color w:val="FFFFFF" w:themeColor="background1"/>
              </w:rPr>
            </w:pPr>
            <w:r w:rsidRPr="008C4E3D">
              <w:rPr>
                <w:b/>
                <w:color w:val="FFFFFF" w:themeColor="background1"/>
              </w:rPr>
              <w:t xml:space="preserve">RELEVANT STATEMENTS FROM THE YEAR </w:t>
            </w:r>
            <w:r w:rsidR="00662073" w:rsidRPr="008C4E3D">
              <w:rPr>
                <w:b/>
                <w:color w:val="FFFFFF" w:themeColor="background1"/>
              </w:rPr>
              <w:t>1</w:t>
            </w:r>
            <w:r w:rsidRPr="008C4E3D">
              <w:rPr>
                <w:b/>
                <w:color w:val="FFFFFF" w:themeColor="background1"/>
              </w:rPr>
              <w:t xml:space="preserve"> ACHIEVEMENT STANDARD</w:t>
            </w:r>
          </w:p>
        </w:tc>
        <w:tc>
          <w:tcPr>
            <w:tcW w:w="1667" w:type="pct"/>
            <w:gridSpan w:val="3"/>
            <w:shd w:val="clear" w:color="auto" w:fill="582C71"/>
            <w:vAlign w:val="center"/>
          </w:tcPr>
          <w:p w:rsidR="00BB0AE0" w:rsidRPr="008C4E3D" w:rsidRDefault="00BB0AE0" w:rsidP="001458E1">
            <w:pPr>
              <w:spacing w:before="120"/>
              <w:jc w:val="center"/>
              <w:rPr>
                <w:b/>
                <w:color w:val="FFFFFF" w:themeColor="background1"/>
              </w:rPr>
            </w:pPr>
            <w:r w:rsidRPr="008C4E3D">
              <w:rPr>
                <w:b/>
                <w:color w:val="FFFFFF" w:themeColor="background1"/>
              </w:rPr>
              <w:t xml:space="preserve">RELEVANT STATEMENTS FROM THE YEAR </w:t>
            </w:r>
            <w:r w:rsidR="00551FAC" w:rsidRPr="008C4E3D">
              <w:rPr>
                <w:b/>
                <w:color w:val="FFFFFF" w:themeColor="background1"/>
              </w:rPr>
              <w:t>2</w:t>
            </w:r>
            <w:r w:rsidRPr="008C4E3D">
              <w:rPr>
                <w:b/>
                <w:color w:val="FFFFFF" w:themeColor="background1"/>
              </w:rPr>
              <w:t xml:space="preserve">  ACHIEVEMENT STANDARD </w:t>
            </w:r>
          </w:p>
        </w:tc>
        <w:tc>
          <w:tcPr>
            <w:tcW w:w="1666" w:type="pct"/>
            <w:gridSpan w:val="2"/>
            <w:shd w:val="clear" w:color="auto" w:fill="582C71"/>
            <w:vAlign w:val="center"/>
          </w:tcPr>
          <w:p w:rsidR="00BB0AE0" w:rsidRPr="008C4E3D" w:rsidRDefault="00BB0AE0" w:rsidP="001458E1">
            <w:pPr>
              <w:spacing w:before="120"/>
              <w:jc w:val="center"/>
              <w:rPr>
                <w:b/>
                <w:color w:val="FFFFFF" w:themeColor="background1"/>
              </w:rPr>
            </w:pPr>
            <w:r w:rsidRPr="008C4E3D">
              <w:rPr>
                <w:b/>
                <w:color w:val="FFFFFF" w:themeColor="background1"/>
              </w:rPr>
              <w:t>REL</w:t>
            </w:r>
            <w:r w:rsidR="00551FAC" w:rsidRPr="008C4E3D">
              <w:rPr>
                <w:b/>
                <w:color w:val="FFFFFF" w:themeColor="background1"/>
              </w:rPr>
              <w:t>EVANT STATEMENTS FROM THE YEAR 3</w:t>
            </w:r>
            <w:r w:rsidRPr="008C4E3D">
              <w:rPr>
                <w:b/>
                <w:color w:val="FFFFFF" w:themeColor="background1"/>
              </w:rPr>
              <w:t xml:space="preserve"> ACHIEVEMENT STANDARD</w:t>
            </w:r>
          </w:p>
        </w:tc>
      </w:tr>
      <w:tr w:rsidR="00BB0AE0" w:rsidRPr="009D4FA8" w:rsidTr="00F617B5">
        <w:trPr>
          <w:trHeight w:val="459"/>
        </w:trPr>
        <w:tc>
          <w:tcPr>
            <w:tcW w:w="1667" w:type="pct"/>
            <w:gridSpan w:val="3"/>
          </w:tcPr>
          <w:p w:rsidR="00B66DA0" w:rsidRDefault="00B66DA0" w:rsidP="00B66DA0">
            <w:pPr>
              <w:spacing w:before="120" w:after="120"/>
              <w:rPr>
                <w:b/>
              </w:rPr>
            </w:pPr>
            <w:r>
              <w:rPr>
                <w:b/>
              </w:rPr>
              <w:t>Speaking and Listening</w:t>
            </w:r>
          </w:p>
          <w:p w:rsidR="00BB0AE0" w:rsidRPr="001458E1" w:rsidRDefault="00B66DA0" w:rsidP="00B66DA0">
            <w:r>
              <w:t xml:space="preserve">Students listen to others when taking part in conversations, using appropriate language features and interaction skills.  Students interact in pair, group and class discussions, taking turns when responding. They make short presentations on familiar topics. Students create texts that show understanding of the connection between writing, speech and images. </w:t>
            </w:r>
          </w:p>
        </w:tc>
        <w:tc>
          <w:tcPr>
            <w:tcW w:w="1667" w:type="pct"/>
            <w:gridSpan w:val="3"/>
            <w:shd w:val="clear" w:color="auto" w:fill="auto"/>
          </w:tcPr>
          <w:p w:rsidR="00B66DA0" w:rsidRDefault="00B66DA0" w:rsidP="00B66DA0">
            <w:pPr>
              <w:spacing w:before="120" w:after="120"/>
              <w:rPr>
                <w:b/>
              </w:rPr>
            </w:pPr>
            <w:r>
              <w:rPr>
                <w:b/>
              </w:rPr>
              <w:t>Speaking and Listening</w:t>
            </w:r>
          </w:p>
          <w:p w:rsidR="00BB0AE0" w:rsidRPr="00662073" w:rsidRDefault="00B66DA0" w:rsidP="00F617B5">
            <w:pPr>
              <w:rPr>
                <w:b/>
                <w:highlight w:val="yellow"/>
              </w:rPr>
            </w:pPr>
            <w:r>
              <w:t>Students listen for particular purposes. When discussing their ideas and experiences, students use everyday language features and topic-specific vocabulary.  Students use a variety of strategies to engage in group and class discussions and make presentations.</w:t>
            </w:r>
          </w:p>
        </w:tc>
        <w:tc>
          <w:tcPr>
            <w:tcW w:w="1666" w:type="pct"/>
            <w:gridSpan w:val="2"/>
            <w:shd w:val="clear" w:color="auto" w:fill="auto"/>
          </w:tcPr>
          <w:p w:rsidR="00B66DA0" w:rsidRDefault="00B66DA0" w:rsidP="00B66DA0">
            <w:pPr>
              <w:spacing w:before="120" w:after="120"/>
              <w:rPr>
                <w:b/>
              </w:rPr>
            </w:pPr>
            <w:r>
              <w:rPr>
                <w:b/>
              </w:rPr>
              <w:t>Speaking and Listening</w:t>
            </w:r>
          </w:p>
          <w:p w:rsidR="00BB0AE0" w:rsidRPr="00662073" w:rsidRDefault="00B66DA0" w:rsidP="00B66DA0">
            <w:pPr>
              <w:rPr>
                <w:highlight w:val="yellow"/>
              </w:rPr>
            </w:pPr>
            <w:r>
              <w:t>Students listen to others’ views and respond appropriately using interaction skills.  Students understand how language can be used to express feelings and opinions on topics. Students contribute actively to class and group discussions, asking questions, providing useful feedback and making presentations.</w:t>
            </w:r>
          </w:p>
        </w:tc>
      </w:tr>
      <w:tr w:rsidR="00BB0AE0" w:rsidTr="008C4E3D">
        <w:trPr>
          <w:trHeight w:val="459"/>
        </w:trPr>
        <w:tc>
          <w:tcPr>
            <w:tcW w:w="175" w:type="pct"/>
            <w:shd w:val="clear" w:color="auto" w:fill="582C71"/>
          </w:tcPr>
          <w:p w:rsidR="00BB0AE0" w:rsidRPr="00FF7702" w:rsidRDefault="00BB0AE0" w:rsidP="00F617B5">
            <w:pPr>
              <w:jc w:val="center"/>
              <w:rPr>
                <w:b/>
              </w:rPr>
            </w:pPr>
          </w:p>
        </w:tc>
        <w:tc>
          <w:tcPr>
            <w:tcW w:w="965" w:type="pct"/>
            <w:shd w:val="clear" w:color="auto" w:fill="582C71"/>
            <w:vAlign w:val="center"/>
          </w:tcPr>
          <w:p w:rsidR="00BB0AE0" w:rsidRPr="008C4E3D" w:rsidRDefault="00BB0AE0" w:rsidP="00BB0AE0">
            <w:pPr>
              <w:jc w:val="center"/>
              <w:rPr>
                <w:b/>
                <w:color w:val="FFFFFF" w:themeColor="background1"/>
              </w:rPr>
            </w:pPr>
            <w:r w:rsidRPr="008C4E3D">
              <w:rPr>
                <w:b/>
                <w:color w:val="FFFFFF" w:themeColor="background1"/>
              </w:rPr>
              <w:t>YEAR 1 CONTENT</w:t>
            </w:r>
          </w:p>
        </w:tc>
        <w:tc>
          <w:tcPr>
            <w:tcW w:w="965" w:type="pct"/>
            <w:gridSpan w:val="2"/>
            <w:shd w:val="clear" w:color="auto" w:fill="582C71"/>
            <w:vAlign w:val="center"/>
          </w:tcPr>
          <w:p w:rsidR="00BB0AE0" w:rsidRPr="008C4E3D" w:rsidRDefault="00BB0AE0" w:rsidP="001458E1">
            <w:pPr>
              <w:spacing w:before="120"/>
              <w:jc w:val="center"/>
              <w:rPr>
                <w:rFonts w:cstheme="minorHAnsi"/>
                <w:b/>
                <w:color w:val="FFFFFF" w:themeColor="background1"/>
              </w:rPr>
            </w:pPr>
            <w:r w:rsidRPr="008C4E3D">
              <w:rPr>
                <w:rFonts w:cstheme="minorHAnsi"/>
                <w:b/>
                <w:color w:val="FFFFFF" w:themeColor="background1"/>
              </w:rPr>
              <w:t>←</w:t>
            </w:r>
            <w:r w:rsidRPr="008C4E3D">
              <w:rPr>
                <w:b/>
                <w:color w:val="FFFFFF" w:themeColor="background1"/>
              </w:rPr>
              <w:t>YEAR 1/2</w:t>
            </w:r>
            <w:r w:rsidRPr="008C4E3D">
              <w:rPr>
                <w:rFonts w:cstheme="minorHAnsi"/>
                <w:b/>
                <w:color w:val="FFFFFF" w:themeColor="background1"/>
              </w:rPr>
              <w:t>→</w:t>
            </w:r>
          </w:p>
          <w:p w:rsidR="00BB0AE0" w:rsidRPr="008C4E3D" w:rsidRDefault="00BB0AE0" w:rsidP="00F617B5">
            <w:pPr>
              <w:jc w:val="center"/>
              <w:rPr>
                <w:b/>
                <w:color w:val="FFFFFF" w:themeColor="background1"/>
              </w:rPr>
            </w:pPr>
            <w:r w:rsidRPr="008C4E3D">
              <w:rPr>
                <w:rFonts w:cstheme="minorHAnsi"/>
                <w:b/>
                <w:color w:val="FFFFFF" w:themeColor="background1"/>
              </w:rPr>
              <w:t>Conceptual links</w:t>
            </w:r>
          </w:p>
        </w:tc>
        <w:tc>
          <w:tcPr>
            <w:tcW w:w="965" w:type="pct"/>
            <w:shd w:val="clear" w:color="auto" w:fill="582C71"/>
            <w:vAlign w:val="center"/>
          </w:tcPr>
          <w:p w:rsidR="00BB0AE0" w:rsidRPr="008C4E3D" w:rsidRDefault="00BB0AE0" w:rsidP="00F617B5">
            <w:pPr>
              <w:jc w:val="center"/>
              <w:rPr>
                <w:b/>
                <w:color w:val="FFFFFF" w:themeColor="background1"/>
              </w:rPr>
            </w:pPr>
          </w:p>
          <w:p w:rsidR="00BB0AE0" w:rsidRPr="008C4E3D" w:rsidRDefault="00BB0AE0" w:rsidP="001458E1">
            <w:pPr>
              <w:jc w:val="center"/>
              <w:rPr>
                <w:b/>
                <w:color w:val="FFFFFF" w:themeColor="background1"/>
              </w:rPr>
            </w:pPr>
            <w:r w:rsidRPr="008C4E3D">
              <w:rPr>
                <w:b/>
                <w:color w:val="FFFFFF" w:themeColor="background1"/>
              </w:rPr>
              <w:t>YEAR 2 CONTENT</w:t>
            </w:r>
          </w:p>
        </w:tc>
        <w:tc>
          <w:tcPr>
            <w:tcW w:w="965" w:type="pct"/>
            <w:gridSpan w:val="2"/>
            <w:shd w:val="clear" w:color="auto" w:fill="582C71"/>
            <w:vAlign w:val="center"/>
          </w:tcPr>
          <w:p w:rsidR="00BB0AE0" w:rsidRPr="008C4E3D" w:rsidRDefault="00BB0AE0" w:rsidP="001458E1">
            <w:pPr>
              <w:spacing w:before="120"/>
              <w:jc w:val="center"/>
              <w:rPr>
                <w:rFonts w:cstheme="minorHAnsi"/>
                <w:b/>
                <w:color w:val="FFFFFF" w:themeColor="background1"/>
              </w:rPr>
            </w:pPr>
            <w:r w:rsidRPr="008C4E3D">
              <w:rPr>
                <w:rFonts w:cstheme="minorHAnsi"/>
                <w:b/>
                <w:color w:val="FFFFFF" w:themeColor="background1"/>
              </w:rPr>
              <w:t>←</w:t>
            </w:r>
            <w:r w:rsidRPr="008C4E3D">
              <w:rPr>
                <w:b/>
                <w:color w:val="FFFFFF" w:themeColor="background1"/>
              </w:rPr>
              <w:t>YEAR 2/3</w:t>
            </w:r>
            <w:r w:rsidRPr="008C4E3D">
              <w:rPr>
                <w:rFonts w:cstheme="minorHAnsi"/>
                <w:b/>
                <w:color w:val="FFFFFF" w:themeColor="background1"/>
              </w:rPr>
              <w:t>→</w:t>
            </w:r>
          </w:p>
          <w:p w:rsidR="00BB0AE0" w:rsidRPr="008C4E3D" w:rsidRDefault="00BB0AE0" w:rsidP="00F617B5">
            <w:pPr>
              <w:jc w:val="center"/>
              <w:rPr>
                <w:b/>
                <w:color w:val="FFFFFF" w:themeColor="background1"/>
              </w:rPr>
            </w:pPr>
            <w:r w:rsidRPr="008C4E3D">
              <w:rPr>
                <w:rFonts w:cstheme="minorHAnsi"/>
                <w:b/>
                <w:color w:val="FFFFFF" w:themeColor="background1"/>
              </w:rPr>
              <w:t>Conceptual links</w:t>
            </w:r>
          </w:p>
        </w:tc>
        <w:tc>
          <w:tcPr>
            <w:tcW w:w="965" w:type="pct"/>
            <w:shd w:val="clear" w:color="auto" w:fill="582C71"/>
            <w:vAlign w:val="center"/>
          </w:tcPr>
          <w:p w:rsidR="00BB0AE0" w:rsidRPr="008C4E3D" w:rsidRDefault="00BB0AE0" w:rsidP="00BB0AE0">
            <w:pPr>
              <w:jc w:val="center"/>
              <w:rPr>
                <w:b/>
                <w:color w:val="FFFFFF" w:themeColor="background1"/>
              </w:rPr>
            </w:pPr>
            <w:r w:rsidRPr="008C4E3D">
              <w:rPr>
                <w:b/>
                <w:color w:val="FFFFFF" w:themeColor="background1"/>
              </w:rPr>
              <w:t>YEAR 3 CONTENT</w:t>
            </w:r>
          </w:p>
        </w:tc>
      </w:tr>
      <w:tr w:rsidR="00BB0AE0" w:rsidTr="00F617B5">
        <w:trPr>
          <w:cantSplit/>
          <w:trHeight w:val="1605"/>
        </w:trPr>
        <w:tc>
          <w:tcPr>
            <w:tcW w:w="175" w:type="pct"/>
            <w:textDirection w:val="btLr"/>
          </w:tcPr>
          <w:p w:rsidR="00BB0AE0" w:rsidRPr="00C2254B" w:rsidRDefault="00BB0AE0" w:rsidP="00FC5E9C">
            <w:pPr>
              <w:jc w:val="center"/>
              <w:rPr>
                <w:i/>
                <w:iCs/>
              </w:rPr>
            </w:pPr>
            <w:r>
              <w:rPr>
                <w:i/>
                <w:iCs/>
              </w:rPr>
              <w:t>Evaluative language</w:t>
            </w:r>
          </w:p>
          <w:p w:rsidR="00BB0AE0" w:rsidRDefault="00BB0AE0" w:rsidP="00FC5E9C">
            <w:pPr>
              <w:ind w:left="113" w:right="113"/>
              <w:jc w:val="center"/>
              <w:rPr>
                <w:i/>
                <w:iCs/>
              </w:rPr>
            </w:pPr>
          </w:p>
        </w:tc>
        <w:tc>
          <w:tcPr>
            <w:tcW w:w="965" w:type="pct"/>
            <w:shd w:val="clear" w:color="auto" w:fill="auto"/>
          </w:tcPr>
          <w:p w:rsidR="00BB0AE0" w:rsidRPr="000A45B6" w:rsidRDefault="00BB0AE0" w:rsidP="00F617B5">
            <w:r w:rsidRPr="00B66DA0">
              <w:t>Explore different ways of expressing emotions, including verbal, visual, body language and facial expressions</w:t>
            </w:r>
          </w:p>
        </w:tc>
        <w:tc>
          <w:tcPr>
            <w:tcW w:w="965" w:type="pct"/>
            <w:gridSpan w:val="2"/>
          </w:tcPr>
          <w:p w:rsidR="00BB0AE0" w:rsidRDefault="00BB0AE0" w:rsidP="00BB0AE0">
            <w:pPr>
              <w:spacing w:after="0" w:line="240" w:lineRule="auto"/>
              <w:jc w:val="center"/>
            </w:pPr>
            <w:r>
              <w:t>Expressing emotions</w:t>
            </w:r>
          </w:p>
          <w:p w:rsidR="00BB0AE0" w:rsidRDefault="00BB0AE0" w:rsidP="00BB0AE0">
            <w:pPr>
              <w:spacing w:after="0" w:line="240" w:lineRule="auto"/>
              <w:jc w:val="center"/>
            </w:pPr>
            <w:r>
              <w:t>Expressing opinions</w:t>
            </w:r>
          </w:p>
          <w:p w:rsidR="00BB0AE0" w:rsidRDefault="00BB0AE0" w:rsidP="00BB0AE0">
            <w:pPr>
              <w:spacing w:after="0" w:line="240" w:lineRule="auto"/>
              <w:jc w:val="center"/>
            </w:pPr>
            <w:r>
              <w:t>Language</w:t>
            </w:r>
          </w:p>
          <w:p w:rsidR="00BB0AE0" w:rsidRPr="00C25E3C" w:rsidRDefault="00BB0AE0" w:rsidP="00BB0AE0">
            <w:pPr>
              <w:spacing w:after="0" w:line="240" w:lineRule="auto"/>
              <w:jc w:val="center"/>
            </w:pPr>
          </w:p>
        </w:tc>
        <w:tc>
          <w:tcPr>
            <w:tcW w:w="965" w:type="pct"/>
            <w:shd w:val="clear" w:color="auto" w:fill="auto"/>
          </w:tcPr>
          <w:p w:rsidR="00BB0AE0" w:rsidRPr="00C25E3C" w:rsidRDefault="00BB0AE0" w:rsidP="00F617B5">
            <w:r w:rsidRPr="00B66DA0">
              <w:t>Identify language that can be used for appreciating texts and the qualities of people and things</w:t>
            </w:r>
          </w:p>
        </w:tc>
        <w:tc>
          <w:tcPr>
            <w:tcW w:w="965" w:type="pct"/>
            <w:gridSpan w:val="2"/>
          </w:tcPr>
          <w:p w:rsidR="00BB0AE0" w:rsidRDefault="00BB0AE0" w:rsidP="00F617B5">
            <w:pPr>
              <w:spacing w:after="0" w:line="240" w:lineRule="auto"/>
              <w:jc w:val="center"/>
            </w:pPr>
            <w:r>
              <w:t>Word choice</w:t>
            </w:r>
          </w:p>
          <w:p w:rsidR="00BB0AE0" w:rsidRDefault="00BB0AE0" w:rsidP="00F617B5">
            <w:pPr>
              <w:spacing w:after="0" w:line="240" w:lineRule="auto"/>
              <w:jc w:val="center"/>
            </w:pPr>
            <w:r>
              <w:t>Opinions</w:t>
            </w:r>
          </w:p>
          <w:p w:rsidR="00BB0AE0" w:rsidRDefault="00BB0AE0" w:rsidP="00F617B5">
            <w:pPr>
              <w:spacing w:after="0" w:line="240" w:lineRule="auto"/>
              <w:jc w:val="center"/>
            </w:pPr>
            <w:r>
              <w:t>Evaluations</w:t>
            </w:r>
          </w:p>
          <w:p w:rsidR="00BB0AE0" w:rsidRPr="00C03600" w:rsidRDefault="00BB0AE0" w:rsidP="00F617B5">
            <w:pPr>
              <w:spacing w:after="0" w:line="240" w:lineRule="auto"/>
              <w:jc w:val="center"/>
            </w:pPr>
          </w:p>
        </w:tc>
        <w:tc>
          <w:tcPr>
            <w:tcW w:w="965" w:type="pct"/>
            <w:shd w:val="clear" w:color="auto" w:fill="auto"/>
          </w:tcPr>
          <w:p w:rsidR="00BB0AE0" w:rsidRPr="00C03600" w:rsidRDefault="00BB0AE0" w:rsidP="00F617B5">
            <w:r w:rsidRPr="00B66DA0">
              <w:t>Examine how evaluative language can be varied to be more or less forceful</w:t>
            </w:r>
          </w:p>
        </w:tc>
      </w:tr>
      <w:tr w:rsidR="00BB0AE0" w:rsidTr="00FC5E9C">
        <w:trPr>
          <w:cantSplit/>
          <w:trHeight w:val="3533"/>
        </w:trPr>
        <w:tc>
          <w:tcPr>
            <w:tcW w:w="175" w:type="pct"/>
            <w:textDirection w:val="btLr"/>
          </w:tcPr>
          <w:p w:rsidR="00BB0AE0" w:rsidRPr="00C2254B" w:rsidRDefault="00BB0AE0" w:rsidP="00FC5E9C">
            <w:pPr>
              <w:jc w:val="center"/>
              <w:rPr>
                <w:i/>
                <w:iCs/>
              </w:rPr>
            </w:pPr>
            <w:r>
              <w:rPr>
                <w:i/>
                <w:iCs/>
              </w:rPr>
              <w:t>Listening and speaking interactions</w:t>
            </w:r>
          </w:p>
          <w:p w:rsidR="00BB0AE0" w:rsidRDefault="00BB0AE0" w:rsidP="00FC5E9C">
            <w:pPr>
              <w:ind w:left="113" w:right="113"/>
              <w:jc w:val="center"/>
              <w:rPr>
                <w:i/>
                <w:iCs/>
              </w:rPr>
            </w:pPr>
          </w:p>
        </w:tc>
        <w:tc>
          <w:tcPr>
            <w:tcW w:w="965" w:type="pct"/>
            <w:shd w:val="clear" w:color="auto" w:fill="auto"/>
          </w:tcPr>
          <w:p w:rsidR="00BB0AE0" w:rsidRPr="00B66DA0" w:rsidRDefault="00BB0AE0" w:rsidP="00F617B5">
            <w:r w:rsidRPr="00B66DA0">
              <w:t>Engage in conversations and discussions, using active listening behaviours, showing interest, and contributing ideas, information and questions</w:t>
            </w:r>
          </w:p>
          <w:p w:rsidR="00BB0AE0" w:rsidRDefault="00BB0AE0" w:rsidP="00F617B5">
            <w:r w:rsidRPr="00B66DA0">
              <w:t>Use interaction skills including turn- taking, recognising the contributions of others, speaking clearly and using appropriate volume and pace</w:t>
            </w:r>
          </w:p>
        </w:tc>
        <w:tc>
          <w:tcPr>
            <w:tcW w:w="965" w:type="pct"/>
            <w:gridSpan w:val="2"/>
          </w:tcPr>
          <w:p w:rsidR="00BB0AE0" w:rsidRDefault="00BB0AE0" w:rsidP="00BB0AE0">
            <w:pPr>
              <w:spacing w:after="0" w:line="240" w:lineRule="auto"/>
              <w:jc w:val="center"/>
            </w:pPr>
            <w:r>
              <w:t>Engaging</w:t>
            </w:r>
          </w:p>
          <w:p w:rsidR="00BB0AE0" w:rsidRDefault="00BB0AE0" w:rsidP="00BB0AE0">
            <w:pPr>
              <w:spacing w:after="0" w:line="240" w:lineRule="auto"/>
              <w:jc w:val="center"/>
            </w:pPr>
            <w:r>
              <w:t>Listening</w:t>
            </w:r>
          </w:p>
          <w:p w:rsidR="00BB0AE0" w:rsidRPr="00C25E3C" w:rsidRDefault="00BB0AE0" w:rsidP="00BB0AE0">
            <w:pPr>
              <w:spacing w:after="0" w:line="240" w:lineRule="auto"/>
              <w:jc w:val="center"/>
            </w:pPr>
            <w:r>
              <w:t>Speaking</w:t>
            </w:r>
          </w:p>
        </w:tc>
        <w:tc>
          <w:tcPr>
            <w:tcW w:w="965" w:type="pct"/>
            <w:shd w:val="clear" w:color="auto" w:fill="auto"/>
          </w:tcPr>
          <w:p w:rsidR="00BB0AE0" w:rsidRPr="00B66DA0" w:rsidRDefault="00BB0AE0" w:rsidP="00BB0AE0">
            <w:r w:rsidRPr="00B66DA0">
              <w:t>Listen for specific purposes and information, including instructions, and extend students’ own and others’ ideas in discussions</w:t>
            </w:r>
          </w:p>
          <w:p w:rsidR="00BB0AE0" w:rsidRDefault="00BB0AE0" w:rsidP="00BB0AE0">
            <w:r w:rsidRPr="00B66DA0">
              <w:t>Use interaction skills including initiating topics, making positive statements and voicing disagreement in an appropriate manner, speaking clearly and varying tone, volume and pace appropriately</w:t>
            </w:r>
          </w:p>
        </w:tc>
        <w:tc>
          <w:tcPr>
            <w:tcW w:w="965" w:type="pct"/>
            <w:gridSpan w:val="2"/>
          </w:tcPr>
          <w:p w:rsidR="00BB0AE0" w:rsidRDefault="00BB0AE0" w:rsidP="00F617B5">
            <w:pPr>
              <w:spacing w:after="0" w:line="240" w:lineRule="auto"/>
              <w:jc w:val="center"/>
            </w:pPr>
            <w:r>
              <w:t>Listening</w:t>
            </w:r>
          </w:p>
          <w:p w:rsidR="00BB0AE0" w:rsidRDefault="00BB0AE0" w:rsidP="00F617B5">
            <w:pPr>
              <w:spacing w:after="0" w:line="240" w:lineRule="auto"/>
              <w:jc w:val="center"/>
            </w:pPr>
            <w:r>
              <w:t>Speaking</w:t>
            </w:r>
          </w:p>
          <w:p w:rsidR="00BB0AE0" w:rsidRPr="00C03600" w:rsidRDefault="00BB0AE0" w:rsidP="00F617B5">
            <w:pPr>
              <w:spacing w:after="0" w:line="240" w:lineRule="auto"/>
              <w:jc w:val="center"/>
            </w:pPr>
            <w:r>
              <w:t>Engaging appropriately</w:t>
            </w:r>
          </w:p>
        </w:tc>
        <w:tc>
          <w:tcPr>
            <w:tcW w:w="965" w:type="pct"/>
            <w:shd w:val="clear" w:color="auto" w:fill="auto"/>
          </w:tcPr>
          <w:p w:rsidR="00BB0AE0" w:rsidRPr="00B66DA0" w:rsidRDefault="00BB0AE0" w:rsidP="00F617B5">
            <w:r w:rsidRPr="00B66DA0">
              <w:t>Listen to and contribute to conversations and discussions to share information and ideas and negotiate in collaborative situations</w:t>
            </w:r>
          </w:p>
          <w:p w:rsidR="00BB0AE0" w:rsidRDefault="00BB0AE0" w:rsidP="00F617B5">
            <w:r w:rsidRPr="00B66DA0">
              <w:t>Use interaction skills, including active listening behaviours and communicate in a clear, coherent manner using a variety of everyday and learned vocabulary and appropriate tone, pace, pitch and volume</w:t>
            </w:r>
          </w:p>
        </w:tc>
      </w:tr>
      <w:tr w:rsidR="00BB0AE0" w:rsidTr="00F617B5">
        <w:trPr>
          <w:cantSplit/>
          <w:trHeight w:val="1605"/>
        </w:trPr>
        <w:tc>
          <w:tcPr>
            <w:tcW w:w="175" w:type="pct"/>
            <w:textDirection w:val="btLr"/>
          </w:tcPr>
          <w:p w:rsidR="00BB0AE0" w:rsidRPr="00C2254B" w:rsidRDefault="00BB0AE0" w:rsidP="00FC5E9C">
            <w:pPr>
              <w:jc w:val="center"/>
              <w:rPr>
                <w:i/>
                <w:iCs/>
              </w:rPr>
            </w:pPr>
            <w:r>
              <w:rPr>
                <w:i/>
                <w:iCs/>
              </w:rPr>
              <w:t>Oral presentations</w:t>
            </w:r>
          </w:p>
          <w:p w:rsidR="00BB0AE0" w:rsidRDefault="00BB0AE0" w:rsidP="00FC5E9C">
            <w:pPr>
              <w:ind w:left="113" w:right="113"/>
              <w:jc w:val="center"/>
              <w:rPr>
                <w:i/>
                <w:iCs/>
              </w:rPr>
            </w:pPr>
          </w:p>
        </w:tc>
        <w:tc>
          <w:tcPr>
            <w:tcW w:w="965" w:type="pct"/>
            <w:shd w:val="clear" w:color="auto" w:fill="auto"/>
          </w:tcPr>
          <w:p w:rsidR="00BB0AE0" w:rsidRDefault="00BB0AE0" w:rsidP="00F617B5">
            <w:r w:rsidRPr="00B66DA0">
              <w:t>Make short presentations using some introduced text structures and language, for example opening statements</w:t>
            </w:r>
          </w:p>
        </w:tc>
        <w:tc>
          <w:tcPr>
            <w:tcW w:w="965" w:type="pct"/>
            <w:gridSpan w:val="2"/>
          </w:tcPr>
          <w:p w:rsidR="00E371C6" w:rsidRPr="00C25E3C" w:rsidRDefault="00E371C6" w:rsidP="00FC5E9C">
            <w:pPr>
              <w:spacing w:after="0" w:line="240" w:lineRule="auto"/>
              <w:jc w:val="center"/>
            </w:pPr>
            <w:r>
              <w:t>Make and deliver short p</w:t>
            </w:r>
            <w:r w:rsidR="007D7E5F">
              <w:t>resentations</w:t>
            </w:r>
          </w:p>
        </w:tc>
        <w:tc>
          <w:tcPr>
            <w:tcW w:w="965" w:type="pct"/>
            <w:shd w:val="clear" w:color="auto" w:fill="auto"/>
          </w:tcPr>
          <w:p w:rsidR="00BB0AE0" w:rsidRDefault="00BB0AE0" w:rsidP="00F617B5">
            <w:r w:rsidRPr="00B66DA0">
              <w:t>Rehearse and deliver short presentations on familiar and new topics</w:t>
            </w:r>
          </w:p>
        </w:tc>
        <w:tc>
          <w:tcPr>
            <w:tcW w:w="965" w:type="pct"/>
            <w:gridSpan w:val="2"/>
          </w:tcPr>
          <w:p w:rsidR="00E371C6" w:rsidRPr="00C03600" w:rsidRDefault="007D7E5F" w:rsidP="00FC5E9C">
            <w:pPr>
              <w:spacing w:after="0" w:line="240" w:lineRule="auto"/>
              <w:jc w:val="center"/>
            </w:pPr>
            <w:r>
              <w:t>P</w:t>
            </w:r>
            <w:r w:rsidR="00E371C6">
              <w:t>lan and deliver short p</w:t>
            </w:r>
            <w:r>
              <w:t>resentations</w:t>
            </w:r>
          </w:p>
        </w:tc>
        <w:tc>
          <w:tcPr>
            <w:tcW w:w="965" w:type="pct"/>
            <w:shd w:val="clear" w:color="auto" w:fill="auto"/>
          </w:tcPr>
          <w:p w:rsidR="00BB0AE0" w:rsidRDefault="00BB0AE0" w:rsidP="00F617B5">
            <w:r w:rsidRPr="00B66DA0">
              <w:t>Plan and deliver short presentations, providing some key details in logical sequence</w:t>
            </w:r>
          </w:p>
        </w:tc>
      </w:tr>
    </w:tbl>
    <w:p w:rsidR="00BB0AE0" w:rsidRDefault="00BB0AE0" w:rsidP="001458E1">
      <w:pPr>
        <w:tabs>
          <w:tab w:val="center" w:pos="10065"/>
        </w:tabs>
      </w:pPr>
      <w:r>
        <w:br w:type="page"/>
      </w:r>
    </w:p>
    <w:tbl>
      <w:tblPr>
        <w:tblStyle w:val="TableGrid"/>
        <w:tblpPr w:leftFromText="180" w:rightFromText="180" w:vertAnchor="text" w:horzAnchor="margin" w:tblpX="103" w:tblpY="215"/>
        <w:tblW w:w="4979" w:type="pct"/>
        <w:tblLook w:val="04A0" w:firstRow="1" w:lastRow="0" w:firstColumn="1" w:lastColumn="0" w:noHBand="0" w:noVBand="1"/>
      </w:tblPr>
      <w:tblGrid>
        <w:gridCol w:w="6691"/>
        <w:gridCol w:w="6691"/>
        <w:gridCol w:w="7454"/>
      </w:tblGrid>
      <w:tr w:rsidR="00BB0AE0" w:rsidTr="008C4E3D">
        <w:trPr>
          <w:trHeight w:val="986"/>
        </w:trPr>
        <w:tc>
          <w:tcPr>
            <w:tcW w:w="5000" w:type="pct"/>
            <w:gridSpan w:val="3"/>
            <w:shd w:val="clear" w:color="auto" w:fill="F89520"/>
            <w:vAlign w:val="center"/>
          </w:tcPr>
          <w:p w:rsidR="008C4E3D" w:rsidRPr="00243DE9" w:rsidRDefault="008C4E3D" w:rsidP="008C4E3D">
            <w:pPr>
              <w:spacing w:before="60" w:after="60" w:line="240" w:lineRule="auto"/>
              <w:jc w:val="center"/>
              <w:rPr>
                <w:b/>
              </w:rPr>
            </w:pPr>
            <w:r>
              <w:rPr>
                <w:b/>
              </w:rPr>
              <w:lastRenderedPageBreak/>
              <w:sym w:font="Wingdings" w:char="F0DF"/>
            </w:r>
            <w:r w:rsidR="00490031">
              <w:rPr>
                <w:b/>
              </w:rPr>
              <w:t>COMMON UNDERSTANDINGS</w:t>
            </w:r>
            <w:bookmarkStart w:id="0" w:name="_GoBack"/>
            <w:bookmarkEnd w:id="0"/>
            <w:r w:rsidRPr="00243DE9">
              <w:rPr>
                <w:b/>
              </w:rPr>
              <w:t>→</w:t>
            </w:r>
          </w:p>
          <w:p w:rsidR="00BB0AE0" w:rsidRPr="00051618" w:rsidRDefault="008C4E3D" w:rsidP="008C4E3D">
            <w:pPr>
              <w:jc w:val="center"/>
              <w:rPr>
                <w:b/>
                <w:i/>
                <w:iCs/>
              </w:rPr>
            </w:pPr>
            <w:r w:rsidRPr="00051618">
              <w:rPr>
                <w:b/>
                <w:i/>
                <w:iCs/>
              </w:rPr>
              <w:t>Some suggested common understandings that could be applied across year groups for teaching</w:t>
            </w:r>
          </w:p>
        </w:tc>
      </w:tr>
      <w:tr w:rsidR="00BB0AE0" w:rsidTr="008C4E3D">
        <w:trPr>
          <w:trHeight w:val="1826"/>
        </w:trPr>
        <w:tc>
          <w:tcPr>
            <w:tcW w:w="5000" w:type="pct"/>
            <w:gridSpan w:val="3"/>
            <w:shd w:val="clear" w:color="auto" w:fill="auto"/>
          </w:tcPr>
          <w:p w:rsidR="007D7E5F" w:rsidRDefault="007D7E5F" w:rsidP="008C4E3D">
            <w:pPr>
              <w:pStyle w:val="ListParagraph"/>
              <w:numPr>
                <w:ilvl w:val="0"/>
                <w:numId w:val="2"/>
              </w:numPr>
              <w:spacing w:after="0" w:line="240" w:lineRule="auto"/>
              <w:rPr>
                <w:bCs/>
              </w:rPr>
            </w:pPr>
            <w:r>
              <w:rPr>
                <w:bCs/>
              </w:rPr>
              <w:t>There are ways to effectively express emotions and ideas in an appropriate manner about texts, people and things.</w:t>
            </w:r>
          </w:p>
          <w:p w:rsidR="007D7E5F" w:rsidRDefault="007D7E5F" w:rsidP="008C4E3D">
            <w:pPr>
              <w:pStyle w:val="ListParagraph"/>
              <w:numPr>
                <w:ilvl w:val="0"/>
                <w:numId w:val="2"/>
              </w:numPr>
              <w:spacing w:after="0" w:line="240" w:lineRule="auto"/>
              <w:rPr>
                <w:bCs/>
              </w:rPr>
            </w:pPr>
            <w:r>
              <w:rPr>
                <w:bCs/>
              </w:rPr>
              <w:t>Words can be used to express opinions and evaluations, and can be varied according to the context and situation.</w:t>
            </w:r>
          </w:p>
          <w:p w:rsidR="007D7E5F" w:rsidRDefault="007D7E5F" w:rsidP="008C4E3D">
            <w:pPr>
              <w:pStyle w:val="ListParagraph"/>
              <w:numPr>
                <w:ilvl w:val="0"/>
                <w:numId w:val="2"/>
              </w:numPr>
              <w:spacing w:after="0" w:line="240" w:lineRule="auto"/>
              <w:rPr>
                <w:bCs/>
              </w:rPr>
            </w:pPr>
            <w:r>
              <w:rPr>
                <w:bCs/>
              </w:rPr>
              <w:t>To build relationships with others, we must engage effectively through speaking and listening.</w:t>
            </w:r>
          </w:p>
          <w:p w:rsidR="007D7E5F" w:rsidRDefault="00646AF0" w:rsidP="008C4E3D">
            <w:pPr>
              <w:pStyle w:val="ListParagraph"/>
              <w:numPr>
                <w:ilvl w:val="0"/>
                <w:numId w:val="2"/>
              </w:numPr>
              <w:spacing w:after="0" w:line="240" w:lineRule="auto"/>
              <w:rPr>
                <w:bCs/>
              </w:rPr>
            </w:pPr>
            <w:r>
              <w:rPr>
                <w:bCs/>
              </w:rPr>
              <w:t>When engaging in conversations and/or interactions with others, there are different skills we should use to listen actively.</w:t>
            </w:r>
          </w:p>
          <w:p w:rsidR="00646AF0" w:rsidRDefault="00646AF0" w:rsidP="008C4E3D">
            <w:pPr>
              <w:pStyle w:val="ListParagraph"/>
              <w:numPr>
                <w:ilvl w:val="0"/>
                <w:numId w:val="2"/>
              </w:numPr>
              <w:spacing w:after="0" w:line="240" w:lineRule="auto"/>
              <w:rPr>
                <w:bCs/>
              </w:rPr>
            </w:pPr>
            <w:r>
              <w:rPr>
                <w:bCs/>
              </w:rPr>
              <w:t>Interactions should be respectful and appropriate.</w:t>
            </w:r>
          </w:p>
          <w:p w:rsidR="00646AF0" w:rsidRDefault="00646AF0" w:rsidP="008C4E3D">
            <w:pPr>
              <w:pStyle w:val="ListParagraph"/>
              <w:numPr>
                <w:ilvl w:val="0"/>
                <w:numId w:val="2"/>
              </w:numPr>
              <w:spacing w:after="0" w:line="240" w:lineRule="auto"/>
              <w:rPr>
                <w:bCs/>
              </w:rPr>
            </w:pPr>
            <w:r>
              <w:rPr>
                <w:bCs/>
              </w:rPr>
              <w:t>Verbal and non-verbal speaking and listening skills are part of communicating and interacting.</w:t>
            </w:r>
          </w:p>
          <w:p w:rsidR="00646AF0" w:rsidRDefault="00646AF0" w:rsidP="008C4E3D">
            <w:pPr>
              <w:pStyle w:val="ListParagraph"/>
              <w:numPr>
                <w:ilvl w:val="0"/>
                <w:numId w:val="2"/>
              </w:numPr>
              <w:spacing w:after="0" w:line="240" w:lineRule="auto"/>
              <w:rPr>
                <w:bCs/>
              </w:rPr>
            </w:pPr>
            <w:r>
              <w:rPr>
                <w:bCs/>
              </w:rPr>
              <w:t>Speaking skills are required to communicate effectively.</w:t>
            </w:r>
          </w:p>
          <w:p w:rsidR="00646AF0" w:rsidRPr="007D7E5F" w:rsidRDefault="00646AF0" w:rsidP="008C4E3D">
            <w:pPr>
              <w:pStyle w:val="ListParagraph"/>
              <w:numPr>
                <w:ilvl w:val="0"/>
                <w:numId w:val="2"/>
              </w:numPr>
              <w:spacing w:after="0" w:line="240" w:lineRule="auto"/>
              <w:rPr>
                <w:bCs/>
              </w:rPr>
            </w:pPr>
            <w:r>
              <w:rPr>
                <w:bCs/>
              </w:rPr>
              <w:t>Some situations require more formal speaking and listening interactions, such as oral pre</w:t>
            </w:r>
            <w:r w:rsidR="00E371C6">
              <w:rPr>
                <w:bCs/>
              </w:rPr>
              <w:t>sentations to a group of people.</w:t>
            </w:r>
          </w:p>
          <w:p w:rsidR="00E371C6" w:rsidRPr="00E371C6" w:rsidRDefault="00646AF0" w:rsidP="00E371C6">
            <w:pPr>
              <w:pStyle w:val="ListParagraph"/>
              <w:numPr>
                <w:ilvl w:val="0"/>
                <w:numId w:val="2"/>
              </w:numPr>
              <w:spacing w:after="0" w:line="240" w:lineRule="auto"/>
              <w:rPr>
                <w:b/>
              </w:rPr>
            </w:pPr>
            <w:r>
              <w:rPr>
                <w:bCs/>
              </w:rPr>
              <w:t>When presenting information in formal oral presentations, information will be considered or planned for, prior to engaging in the presentation.</w:t>
            </w:r>
          </w:p>
          <w:p w:rsidR="00E371C6" w:rsidRPr="00E371C6" w:rsidRDefault="00E371C6" w:rsidP="00E371C6">
            <w:pPr>
              <w:pStyle w:val="ListParagraph"/>
              <w:numPr>
                <w:ilvl w:val="0"/>
                <w:numId w:val="2"/>
              </w:numPr>
              <w:spacing w:after="0" w:line="240" w:lineRule="auto"/>
              <w:rPr>
                <w:b/>
              </w:rPr>
            </w:pPr>
            <w:r>
              <w:rPr>
                <w:bCs/>
              </w:rPr>
              <w:t>Language will vary according to the nature of the interaction, e.g. formality, topic.</w:t>
            </w:r>
          </w:p>
        </w:tc>
      </w:tr>
      <w:tr w:rsidR="00BB0AE0" w:rsidTr="008C4E3D">
        <w:trPr>
          <w:trHeight w:val="989"/>
        </w:trPr>
        <w:tc>
          <w:tcPr>
            <w:tcW w:w="5000" w:type="pct"/>
            <w:gridSpan w:val="3"/>
            <w:shd w:val="clear" w:color="auto" w:fill="F89520"/>
            <w:vAlign w:val="center"/>
          </w:tcPr>
          <w:p w:rsidR="008C4E3D" w:rsidRDefault="008C4E3D" w:rsidP="008C4E3D">
            <w:pPr>
              <w:spacing w:before="60" w:after="60" w:line="240" w:lineRule="auto"/>
              <w:jc w:val="center"/>
              <w:rPr>
                <w:b/>
              </w:rPr>
            </w:pPr>
            <w:r>
              <w:rPr>
                <w:b/>
              </w:rPr>
              <w:t xml:space="preserve">SUGGESTED LEARNING EXPERIENCES </w:t>
            </w:r>
          </w:p>
          <w:p w:rsidR="00BB0AE0" w:rsidRPr="00051618" w:rsidRDefault="008C4E3D" w:rsidP="008C4E3D">
            <w:pPr>
              <w:jc w:val="center"/>
              <w:rPr>
                <w:b/>
                <w:i/>
                <w:iCs/>
              </w:rPr>
            </w:pPr>
            <w:r w:rsidRPr="00051618">
              <w:rPr>
                <w:b/>
                <w:i/>
                <w:iCs/>
              </w:rPr>
              <w:t>Ensure meaningful learning experiences explore the above common understandings</w:t>
            </w:r>
          </w:p>
        </w:tc>
      </w:tr>
      <w:tr w:rsidR="00BB0AE0" w:rsidTr="008C4E3D">
        <w:trPr>
          <w:trHeight w:val="989"/>
        </w:trPr>
        <w:tc>
          <w:tcPr>
            <w:tcW w:w="5000" w:type="pct"/>
            <w:gridSpan w:val="3"/>
            <w:shd w:val="clear" w:color="auto" w:fill="auto"/>
            <w:vAlign w:val="center"/>
          </w:tcPr>
          <w:p w:rsidR="00646AF0" w:rsidRDefault="00646AF0" w:rsidP="008C4E3D">
            <w:pPr>
              <w:pStyle w:val="ListParagraph"/>
              <w:numPr>
                <w:ilvl w:val="0"/>
                <w:numId w:val="1"/>
              </w:numPr>
              <w:spacing w:after="0" w:line="240" w:lineRule="auto"/>
            </w:pPr>
            <w:r>
              <w:t xml:space="preserve">Observe materials from everyday life used in Science program. </w:t>
            </w:r>
            <w:r w:rsidR="0037235F">
              <w:t>Brainstorm words to describe the materials. Consider the material as an emotion, what words would you use to describe the material as an emotion? Organise words into categori</w:t>
            </w:r>
            <w:r w:rsidR="002A6BF9">
              <w:t xml:space="preserve">es or a scale of emotion. </w:t>
            </w:r>
          </w:p>
          <w:p w:rsidR="002A6BF9" w:rsidRDefault="002A6BF9" w:rsidP="008C4E3D">
            <w:pPr>
              <w:pStyle w:val="ListParagraph"/>
              <w:numPr>
                <w:ilvl w:val="0"/>
                <w:numId w:val="1"/>
              </w:numPr>
              <w:spacing w:after="0" w:line="240" w:lineRule="auto"/>
            </w:pPr>
            <w:r>
              <w:t xml:space="preserve">Students consider some of the common objects made from impractical materials from Science program, e.g. paper drink bottles, plastic tissue, and a glass lunchbox, and state evaluations about the objects. Consider how the use of language changes the degree of formality in their evaluation. How does the purpose, such as a response in Science versus a conversation with a friend, change the words used to state their evaluation. Make a class record of formal and informal words that can be used. </w:t>
            </w:r>
          </w:p>
          <w:p w:rsidR="0037235F" w:rsidRDefault="0037235F" w:rsidP="008C4E3D">
            <w:pPr>
              <w:pStyle w:val="ListParagraph"/>
              <w:numPr>
                <w:ilvl w:val="0"/>
                <w:numId w:val="1"/>
              </w:numPr>
              <w:spacing w:after="0" w:line="240" w:lineRule="auto"/>
            </w:pPr>
            <w:r>
              <w:t xml:space="preserve">What am I? Students use understanding of scientific terms/language to develop ‘who am </w:t>
            </w:r>
            <w:r w:rsidR="00B66DA0">
              <w:t>I</w:t>
            </w:r>
            <w:r>
              <w:t xml:space="preserve">?’ questions about different materials/objects. Students plan questions and rehearse to a partner, before presenting to the class. </w:t>
            </w:r>
          </w:p>
          <w:p w:rsidR="00646AF0" w:rsidRDefault="002A6BF9" w:rsidP="008C4E3D">
            <w:pPr>
              <w:pStyle w:val="ListParagraph"/>
              <w:numPr>
                <w:ilvl w:val="0"/>
                <w:numId w:val="1"/>
              </w:numPr>
              <w:spacing w:after="0" w:line="240" w:lineRule="auto"/>
            </w:pPr>
            <w:r>
              <w:t xml:space="preserve">Brainstorm students’ own ideas of the skills required for respectful and active speaking and listening, in both planned (formal) and unplanned (informal) situations. Add necessary points and make a class list. </w:t>
            </w:r>
          </w:p>
          <w:p w:rsidR="00BB0AE0" w:rsidRPr="003E69FF" w:rsidRDefault="004F4EE7" w:rsidP="008C4E3D">
            <w:pPr>
              <w:pStyle w:val="ListParagraph"/>
              <w:numPr>
                <w:ilvl w:val="0"/>
                <w:numId w:val="1"/>
              </w:numPr>
              <w:spacing w:after="0" w:line="240" w:lineRule="auto"/>
            </w:pPr>
            <w:r>
              <w:t xml:space="preserve">Students engage in a range of speaking and listening games to practice their interaction skills. </w:t>
            </w:r>
          </w:p>
        </w:tc>
      </w:tr>
      <w:tr w:rsidR="00BB0AE0" w:rsidTr="008C4E3D">
        <w:trPr>
          <w:trHeight w:val="989"/>
        </w:trPr>
        <w:tc>
          <w:tcPr>
            <w:tcW w:w="5000" w:type="pct"/>
            <w:gridSpan w:val="3"/>
            <w:shd w:val="clear" w:color="auto" w:fill="582C71"/>
            <w:vAlign w:val="center"/>
          </w:tcPr>
          <w:p w:rsidR="008C4E3D" w:rsidRPr="0043599A" w:rsidRDefault="008C4E3D" w:rsidP="008C4E3D">
            <w:pPr>
              <w:spacing w:before="60" w:after="60" w:line="240" w:lineRule="auto"/>
              <w:jc w:val="center"/>
              <w:rPr>
                <w:b/>
                <w:color w:val="FFFFFF" w:themeColor="background1"/>
              </w:rPr>
            </w:pPr>
            <w:r w:rsidRPr="0043599A">
              <w:rPr>
                <w:b/>
                <w:color w:val="FFFFFF" w:themeColor="background1"/>
              </w:rPr>
              <w:t>SUGGESTED ASSESSMENTS</w:t>
            </w:r>
          </w:p>
          <w:p w:rsidR="00BB0AE0" w:rsidRPr="00051618" w:rsidRDefault="008C4E3D" w:rsidP="008C4E3D">
            <w:pPr>
              <w:jc w:val="center"/>
              <w:rPr>
                <w:b/>
                <w:i/>
                <w:iCs/>
              </w:rPr>
            </w:pPr>
            <w:r w:rsidRPr="00051618">
              <w:rPr>
                <w:b/>
                <w:i/>
                <w:iCs/>
                <w:color w:val="FFFFFF" w:themeColor="background1"/>
              </w:rPr>
              <w:t>Consider the learning experiences and identify the points of assessment for each year level (against the year level Achievement Standard)</w:t>
            </w:r>
          </w:p>
        </w:tc>
      </w:tr>
      <w:tr w:rsidR="00BB0AE0" w:rsidTr="008C4E3D">
        <w:trPr>
          <w:trHeight w:val="495"/>
        </w:trPr>
        <w:tc>
          <w:tcPr>
            <w:tcW w:w="1667" w:type="pct"/>
            <w:shd w:val="clear" w:color="auto" w:fill="auto"/>
            <w:vAlign w:val="center"/>
          </w:tcPr>
          <w:p w:rsidR="00BB0AE0" w:rsidRPr="005948B7" w:rsidRDefault="00662073" w:rsidP="008C4E3D">
            <w:pPr>
              <w:rPr>
                <w:b/>
              </w:rPr>
            </w:pPr>
            <w:r>
              <w:rPr>
                <w:b/>
              </w:rPr>
              <w:t>Year 1</w:t>
            </w:r>
          </w:p>
        </w:tc>
        <w:tc>
          <w:tcPr>
            <w:tcW w:w="1667" w:type="pct"/>
            <w:shd w:val="clear" w:color="auto" w:fill="auto"/>
            <w:vAlign w:val="center"/>
          </w:tcPr>
          <w:p w:rsidR="00BB0AE0" w:rsidRPr="005948B7" w:rsidRDefault="00662073" w:rsidP="008C4E3D">
            <w:pPr>
              <w:rPr>
                <w:b/>
              </w:rPr>
            </w:pPr>
            <w:r>
              <w:rPr>
                <w:b/>
              </w:rPr>
              <w:t>Year 2</w:t>
            </w:r>
          </w:p>
        </w:tc>
        <w:tc>
          <w:tcPr>
            <w:tcW w:w="1666" w:type="pct"/>
            <w:shd w:val="clear" w:color="auto" w:fill="auto"/>
            <w:vAlign w:val="center"/>
          </w:tcPr>
          <w:p w:rsidR="00BB0AE0" w:rsidRPr="005948B7" w:rsidRDefault="00662073" w:rsidP="008C4E3D">
            <w:pPr>
              <w:rPr>
                <w:b/>
              </w:rPr>
            </w:pPr>
            <w:r>
              <w:rPr>
                <w:b/>
              </w:rPr>
              <w:t>Year 3</w:t>
            </w:r>
          </w:p>
        </w:tc>
      </w:tr>
      <w:tr w:rsidR="00BB0AE0" w:rsidTr="008C4E3D">
        <w:trPr>
          <w:trHeight w:val="495"/>
        </w:trPr>
        <w:tc>
          <w:tcPr>
            <w:tcW w:w="1667" w:type="pct"/>
            <w:shd w:val="clear" w:color="auto" w:fill="auto"/>
          </w:tcPr>
          <w:p w:rsidR="00BB0AE0" w:rsidRDefault="00662073" w:rsidP="008C4E3D">
            <w:pPr>
              <w:kinsoku w:val="0"/>
              <w:spacing w:after="0" w:line="240" w:lineRule="auto"/>
              <w:rPr>
                <w:bCs/>
              </w:rPr>
            </w:pPr>
            <w:r>
              <w:rPr>
                <w:bCs/>
              </w:rPr>
              <w:t>Interview</w:t>
            </w:r>
          </w:p>
          <w:p w:rsidR="00662073" w:rsidRPr="00662073" w:rsidRDefault="00662073" w:rsidP="00E371C6">
            <w:pPr>
              <w:kinsoku w:val="0"/>
              <w:spacing w:after="0" w:line="240" w:lineRule="auto"/>
              <w:rPr>
                <w:bCs/>
                <w:i/>
                <w:iCs/>
              </w:rPr>
            </w:pPr>
            <w:r>
              <w:rPr>
                <w:bCs/>
                <w:i/>
                <w:iCs/>
              </w:rPr>
              <w:t>*Refer to Year 3 Sample Assessment Task to reflect Year 1 Achievement Standard and content</w:t>
            </w:r>
            <w:r w:rsidR="00E371C6">
              <w:rPr>
                <w:bCs/>
                <w:i/>
                <w:iCs/>
              </w:rPr>
              <w:t xml:space="preserve"> (modification of marking key required)</w:t>
            </w:r>
            <w:r w:rsidR="00D030FA">
              <w:rPr>
                <w:bCs/>
                <w:i/>
                <w:iCs/>
              </w:rPr>
              <w:t>...</w:t>
            </w:r>
          </w:p>
        </w:tc>
        <w:tc>
          <w:tcPr>
            <w:tcW w:w="1667" w:type="pct"/>
            <w:shd w:val="clear" w:color="auto" w:fill="auto"/>
          </w:tcPr>
          <w:p w:rsidR="00B66DA0" w:rsidRDefault="00B66DA0" w:rsidP="008C4E3D">
            <w:pPr>
              <w:kinsoku w:val="0"/>
              <w:spacing w:after="0" w:line="240" w:lineRule="auto"/>
              <w:rPr>
                <w:bCs/>
              </w:rPr>
            </w:pPr>
            <w:r>
              <w:rPr>
                <w:bCs/>
              </w:rPr>
              <w:t>Interview</w:t>
            </w:r>
          </w:p>
          <w:p w:rsidR="00BB0AE0" w:rsidRPr="00662073" w:rsidRDefault="00B66DA0" w:rsidP="00E371C6">
            <w:pPr>
              <w:kinsoku w:val="0"/>
              <w:spacing w:after="0" w:line="240" w:lineRule="auto"/>
              <w:rPr>
                <w:bCs/>
              </w:rPr>
            </w:pPr>
            <w:r>
              <w:rPr>
                <w:bCs/>
                <w:i/>
                <w:iCs/>
              </w:rPr>
              <w:t>*Refer to Year 3 Sample Assessment Task to reflect Year 2 Achievement Standard and content</w:t>
            </w:r>
            <w:r w:rsidR="00E371C6">
              <w:rPr>
                <w:bCs/>
                <w:i/>
                <w:iCs/>
              </w:rPr>
              <w:t xml:space="preserve"> (modification of marking key required).</w:t>
            </w:r>
          </w:p>
        </w:tc>
        <w:tc>
          <w:tcPr>
            <w:tcW w:w="1666" w:type="pct"/>
            <w:shd w:val="clear" w:color="auto" w:fill="auto"/>
          </w:tcPr>
          <w:p w:rsidR="00BB0AE0" w:rsidRDefault="00662073" w:rsidP="008C4E3D">
            <w:pPr>
              <w:kinsoku w:val="0"/>
              <w:spacing w:after="0" w:line="240" w:lineRule="auto"/>
              <w:rPr>
                <w:bCs/>
              </w:rPr>
            </w:pPr>
            <w:r>
              <w:rPr>
                <w:bCs/>
              </w:rPr>
              <w:t>Speaking and Listening Sample Assessment Task</w:t>
            </w:r>
          </w:p>
          <w:p w:rsidR="00662073" w:rsidRDefault="00490031" w:rsidP="008C4E3D">
            <w:pPr>
              <w:kinsoku w:val="0"/>
              <w:spacing w:after="0" w:line="240" w:lineRule="auto"/>
              <w:rPr>
                <w:bCs/>
              </w:rPr>
            </w:pPr>
            <w:hyperlink r:id="rId7" w:history="1">
              <w:r w:rsidR="00662073" w:rsidRPr="004124DF">
                <w:rPr>
                  <w:rStyle w:val="Hyperlink"/>
                  <w:bCs/>
                </w:rPr>
                <w:t>https://k10outline.scsa.wa.edu.au/__data/assets/pdf_file/0006/424356/English-Speaking-and-Listening-Year-3-Sample-Assessment-Task-Interview.PDF</w:t>
              </w:r>
            </w:hyperlink>
          </w:p>
          <w:p w:rsidR="00662073" w:rsidRPr="00662073" w:rsidRDefault="00662073" w:rsidP="008C4E3D">
            <w:pPr>
              <w:kinsoku w:val="0"/>
              <w:spacing w:after="0" w:line="240" w:lineRule="auto"/>
              <w:rPr>
                <w:bCs/>
              </w:rPr>
            </w:pPr>
          </w:p>
        </w:tc>
      </w:tr>
      <w:tr w:rsidR="00BB0AE0" w:rsidTr="008C4E3D">
        <w:trPr>
          <w:trHeight w:val="989"/>
        </w:trPr>
        <w:tc>
          <w:tcPr>
            <w:tcW w:w="5000" w:type="pct"/>
            <w:gridSpan w:val="3"/>
            <w:shd w:val="clear" w:color="auto" w:fill="582C71"/>
            <w:vAlign w:val="center"/>
          </w:tcPr>
          <w:p w:rsidR="008C4E3D" w:rsidRPr="0043599A" w:rsidRDefault="008C4E3D" w:rsidP="008C4E3D">
            <w:pPr>
              <w:spacing w:before="60" w:after="60" w:line="240" w:lineRule="auto"/>
              <w:jc w:val="center"/>
              <w:rPr>
                <w:b/>
                <w:color w:val="FFFFFF" w:themeColor="background1"/>
              </w:rPr>
            </w:pPr>
            <w:r w:rsidRPr="0043599A">
              <w:rPr>
                <w:b/>
                <w:color w:val="FFFFFF" w:themeColor="background1"/>
              </w:rPr>
              <w:t>CONSIDERATIONS WHEN LINKING TO OTHER LEARNING AREAS</w:t>
            </w:r>
          </w:p>
          <w:p w:rsidR="00BB0AE0" w:rsidRPr="00051618" w:rsidRDefault="008C4E3D" w:rsidP="008C4E3D">
            <w:pPr>
              <w:spacing w:after="0" w:line="240" w:lineRule="auto"/>
              <w:jc w:val="center"/>
              <w:rPr>
                <w:bCs/>
                <w:i/>
                <w:iCs/>
              </w:rPr>
            </w:pPr>
            <w:r w:rsidRPr="00051618">
              <w:rPr>
                <w:b/>
                <w:i/>
                <w:iCs/>
                <w:color w:val="FFFFFF" w:themeColor="background1"/>
              </w:rPr>
              <w:t>What authentic connections can be made across learning areas</w:t>
            </w:r>
            <w:r w:rsidR="00051618">
              <w:rPr>
                <w:b/>
                <w:i/>
                <w:iCs/>
                <w:color w:val="FFFFFF" w:themeColor="background1"/>
              </w:rPr>
              <w:t xml:space="preserve"> to develop connected programs</w:t>
            </w:r>
            <w:r w:rsidRPr="00051618">
              <w:rPr>
                <w:b/>
                <w:i/>
                <w:iCs/>
                <w:color w:val="FFFFFF" w:themeColor="background1"/>
              </w:rPr>
              <w:t>?</w:t>
            </w:r>
          </w:p>
        </w:tc>
      </w:tr>
      <w:tr w:rsidR="00BB0AE0" w:rsidTr="008C4E3D">
        <w:trPr>
          <w:trHeight w:val="989"/>
        </w:trPr>
        <w:tc>
          <w:tcPr>
            <w:tcW w:w="5000" w:type="pct"/>
            <w:gridSpan w:val="3"/>
            <w:shd w:val="clear" w:color="auto" w:fill="auto"/>
            <w:vAlign w:val="center"/>
          </w:tcPr>
          <w:p w:rsidR="00BB0AE0" w:rsidRDefault="00B66DA0" w:rsidP="008C4E3D">
            <w:pPr>
              <w:pStyle w:val="ListParagraph"/>
              <w:numPr>
                <w:ilvl w:val="0"/>
                <w:numId w:val="4"/>
              </w:numPr>
            </w:pPr>
            <w:r>
              <w:t>Science – Chemical Science</w:t>
            </w:r>
          </w:p>
          <w:p w:rsidR="00B66DA0" w:rsidRPr="00D12EBE" w:rsidRDefault="00B66DA0" w:rsidP="008C4E3D">
            <w:pPr>
              <w:pStyle w:val="ListParagraph"/>
              <w:numPr>
                <w:ilvl w:val="0"/>
                <w:numId w:val="4"/>
              </w:numPr>
            </w:pPr>
            <w:r>
              <w:t>The Arts - Drama</w:t>
            </w:r>
          </w:p>
        </w:tc>
      </w:tr>
    </w:tbl>
    <w:p w:rsidR="00BB0AE0" w:rsidRDefault="00BB0AE0" w:rsidP="00BB0AE0"/>
    <w:sectPr w:rsidR="00BB0AE0" w:rsidSect="001458E1">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DA0" w:rsidRDefault="00B66DA0" w:rsidP="00B66DA0">
      <w:pPr>
        <w:spacing w:after="0" w:line="240" w:lineRule="auto"/>
      </w:pPr>
      <w:r>
        <w:separator/>
      </w:r>
    </w:p>
  </w:endnote>
  <w:endnote w:type="continuationSeparator" w:id="0">
    <w:p w:rsidR="00B66DA0" w:rsidRDefault="00B66DA0" w:rsidP="00B6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EB" w:rsidRDefault="00024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A0" w:rsidRPr="001458E1" w:rsidRDefault="00C713A0" w:rsidP="00FC5E9C">
    <w:pPr>
      <w:pStyle w:val="Footer"/>
      <w:tabs>
        <w:tab w:val="clear" w:pos="4513"/>
        <w:tab w:val="clear" w:pos="9026"/>
        <w:tab w:val="right" w:pos="20838"/>
      </w:tabs>
    </w:pPr>
    <w:r>
      <w:t>Multi Age Group Classrooms | English | Years 1-3 | Sample Plan</w:t>
    </w:r>
    <w:r w:rsidR="00FC5E9C">
      <w:tab/>
      <w:t xml:space="preserve">Page </w:t>
    </w:r>
    <w:r w:rsidR="00FC5E9C">
      <w:fldChar w:fldCharType="begin"/>
    </w:r>
    <w:r w:rsidR="00FC5E9C">
      <w:instrText xml:space="preserve"> PAGE   \* MERGEFORMAT </w:instrText>
    </w:r>
    <w:r w:rsidR="00FC5E9C">
      <w:fldChar w:fldCharType="separate"/>
    </w:r>
    <w:r w:rsidR="00490031">
      <w:rPr>
        <w:noProof/>
      </w:rPr>
      <w:t>2</w:t>
    </w:r>
    <w:r w:rsidR="00FC5E9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E1" w:rsidRDefault="001458E1">
    <w:pPr>
      <w:pStyle w:val="Footer"/>
    </w:pPr>
    <w:r>
      <w:t>2017/52753v2</w:t>
    </w:r>
  </w:p>
  <w:p w:rsidR="00024DEB" w:rsidRDefault="001458E1" w:rsidP="00024DEB">
    <w:pPr>
      <w:pStyle w:val="Footer"/>
      <w:tabs>
        <w:tab w:val="clear" w:pos="4513"/>
        <w:tab w:val="clear" w:pos="9026"/>
        <w:tab w:val="right" w:pos="20838"/>
      </w:tabs>
    </w:pPr>
    <w:r>
      <w:t>Multi Ag</w:t>
    </w:r>
    <w:r w:rsidR="00C713A0">
      <w:t>e Group Classrooms | English | Years 1-3 | Sample Plan</w:t>
    </w:r>
    <w:r>
      <w:tab/>
      <w:t xml:space="preserve">Page </w:t>
    </w:r>
    <w:r>
      <w:fldChar w:fldCharType="begin"/>
    </w:r>
    <w:r>
      <w:instrText xml:space="preserve"> PAGE   \* MERGEFORMAT </w:instrText>
    </w:r>
    <w:r>
      <w:fldChar w:fldCharType="separate"/>
    </w:r>
    <w:r w:rsidR="0049003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DA0" w:rsidRDefault="00B66DA0" w:rsidP="00B66DA0">
      <w:pPr>
        <w:spacing w:after="0" w:line="240" w:lineRule="auto"/>
      </w:pPr>
      <w:r>
        <w:separator/>
      </w:r>
    </w:p>
  </w:footnote>
  <w:footnote w:type="continuationSeparator" w:id="0">
    <w:p w:rsidR="00B66DA0" w:rsidRDefault="00B66DA0" w:rsidP="00B66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EB" w:rsidRDefault="00024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EB" w:rsidRDefault="00024D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A0" w:rsidRDefault="001458E1">
    <w:pPr>
      <w:pStyle w:val="Header"/>
    </w:pPr>
    <w:r>
      <w:rPr>
        <w:noProof/>
        <w:lang w:eastAsia="zh-TW"/>
      </w:rPr>
      <w:drawing>
        <wp:inline distT="0" distB="0" distL="0" distR="0" wp14:anchorId="6F69443E" wp14:editId="346BE6D3">
          <wp:extent cx="3277210" cy="5085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6207" cy="51154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F244D"/>
    <w:multiLevelType w:val="hybridMultilevel"/>
    <w:tmpl w:val="D3F4B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263AAA"/>
    <w:multiLevelType w:val="hybridMultilevel"/>
    <w:tmpl w:val="EA74E6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947391"/>
    <w:multiLevelType w:val="hybridMultilevel"/>
    <w:tmpl w:val="16CC12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E02655C"/>
    <w:multiLevelType w:val="hybridMultilevel"/>
    <w:tmpl w:val="87044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E0"/>
    <w:rsid w:val="00024DEB"/>
    <w:rsid w:val="00051618"/>
    <w:rsid w:val="001458E1"/>
    <w:rsid w:val="002A6BF9"/>
    <w:rsid w:val="003664B8"/>
    <w:rsid w:val="0037235F"/>
    <w:rsid w:val="00490031"/>
    <w:rsid w:val="004F4EE7"/>
    <w:rsid w:val="00551FAC"/>
    <w:rsid w:val="00646AF0"/>
    <w:rsid w:val="00662073"/>
    <w:rsid w:val="007B14AD"/>
    <w:rsid w:val="007D7E5F"/>
    <w:rsid w:val="007F2508"/>
    <w:rsid w:val="008C4E3D"/>
    <w:rsid w:val="00A76767"/>
    <w:rsid w:val="00B66DA0"/>
    <w:rsid w:val="00BB0AE0"/>
    <w:rsid w:val="00C713A0"/>
    <w:rsid w:val="00D030FA"/>
    <w:rsid w:val="00E371C6"/>
    <w:rsid w:val="00FC5E9C"/>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1A59A72-A69D-4E97-8D34-1423E137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AE0"/>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AE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AE0"/>
    <w:rPr>
      <w:rFonts w:eastAsiaTheme="minorHAnsi"/>
      <w:lang w:eastAsia="en-US"/>
    </w:rPr>
  </w:style>
  <w:style w:type="paragraph" w:styleId="ListParagraph">
    <w:name w:val="List Paragraph"/>
    <w:basedOn w:val="Normal"/>
    <w:uiPriority w:val="34"/>
    <w:qFormat/>
    <w:rsid w:val="00BB0AE0"/>
    <w:pPr>
      <w:ind w:left="720"/>
      <w:contextualSpacing/>
    </w:pPr>
  </w:style>
  <w:style w:type="paragraph" w:styleId="Footer">
    <w:name w:val="footer"/>
    <w:basedOn w:val="Normal"/>
    <w:link w:val="FooterChar"/>
    <w:uiPriority w:val="99"/>
    <w:unhideWhenUsed/>
    <w:rsid w:val="00BB0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AE0"/>
    <w:rPr>
      <w:rFonts w:eastAsiaTheme="minorHAnsi"/>
      <w:lang w:eastAsia="en-US"/>
    </w:rPr>
  </w:style>
  <w:style w:type="character" w:styleId="Hyperlink">
    <w:name w:val="Hyperlink"/>
    <w:basedOn w:val="DefaultParagraphFont"/>
    <w:uiPriority w:val="99"/>
    <w:unhideWhenUsed/>
    <w:rsid w:val="00662073"/>
    <w:rPr>
      <w:color w:val="0563C1" w:themeColor="hyperlink"/>
      <w:u w:val="single"/>
    </w:rPr>
  </w:style>
  <w:style w:type="paragraph" w:styleId="BalloonText">
    <w:name w:val="Balloon Text"/>
    <w:basedOn w:val="Normal"/>
    <w:link w:val="BalloonTextChar"/>
    <w:uiPriority w:val="99"/>
    <w:semiHidden/>
    <w:unhideWhenUsed/>
    <w:rsid w:val="00B6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DA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06458">
      <w:bodyDiv w:val="1"/>
      <w:marLeft w:val="0"/>
      <w:marRight w:val="0"/>
      <w:marTop w:val="0"/>
      <w:marBottom w:val="0"/>
      <w:divBdr>
        <w:top w:val="none" w:sz="0" w:space="0" w:color="auto"/>
        <w:left w:val="none" w:sz="0" w:space="0" w:color="auto"/>
        <w:bottom w:val="none" w:sz="0" w:space="0" w:color="auto"/>
        <w:right w:val="none" w:sz="0" w:space="0" w:color="auto"/>
      </w:divBdr>
    </w:div>
    <w:div w:id="1044644212">
      <w:bodyDiv w:val="1"/>
      <w:marLeft w:val="0"/>
      <w:marRight w:val="0"/>
      <w:marTop w:val="0"/>
      <w:marBottom w:val="0"/>
      <w:divBdr>
        <w:top w:val="none" w:sz="0" w:space="0" w:color="auto"/>
        <w:left w:val="none" w:sz="0" w:space="0" w:color="auto"/>
        <w:bottom w:val="none" w:sz="0" w:space="0" w:color="auto"/>
        <w:right w:val="none" w:sz="0" w:space="0" w:color="auto"/>
      </w:divBdr>
    </w:div>
    <w:div w:id="1875579221">
      <w:bodyDiv w:val="1"/>
      <w:marLeft w:val="0"/>
      <w:marRight w:val="0"/>
      <w:marTop w:val="0"/>
      <w:marBottom w:val="0"/>
      <w:divBdr>
        <w:top w:val="none" w:sz="0" w:space="0" w:color="auto"/>
        <w:left w:val="none" w:sz="0" w:space="0" w:color="auto"/>
        <w:bottom w:val="none" w:sz="0" w:space="0" w:color="auto"/>
        <w:right w:val="none" w:sz="0" w:space="0" w:color="auto"/>
      </w:divBdr>
    </w:div>
    <w:div w:id="19971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k10outline.scsa.wa.edu.au/__data/assets/pdf_file/0006/424356/English-Speaking-and-Listening-Year-3-Sample-Assessment-Task-Interview.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Bradley</dc:creator>
  <cp:keywords/>
  <dc:description/>
  <cp:lastModifiedBy>Nicole Bradley</cp:lastModifiedBy>
  <cp:revision>13</cp:revision>
  <cp:lastPrinted>2018-02-12T06:05:00Z</cp:lastPrinted>
  <dcterms:created xsi:type="dcterms:W3CDTF">2017-09-18T03:41:00Z</dcterms:created>
  <dcterms:modified xsi:type="dcterms:W3CDTF">2018-02-13T01:25:00Z</dcterms:modified>
</cp:coreProperties>
</file>