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464" w:tblpY="215"/>
        <w:tblW w:w="5215" w:type="pct"/>
        <w:tblLook w:val="04A0" w:firstRow="1" w:lastRow="0" w:firstColumn="1" w:lastColumn="0" w:noHBand="0" w:noVBand="1"/>
      </w:tblPr>
      <w:tblGrid>
        <w:gridCol w:w="7276"/>
        <w:gridCol w:w="799"/>
        <w:gridCol w:w="2837"/>
        <w:gridCol w:w="1746"/>
        <w:gridCol w:w="1894"/>
        <w:gridCol w:w="2689"/>
        <w:gridCol w:w="4583"/>
      </w:tblGrid>
      <w:tr w:rsidR="00F35766" w:rsidRPr="006B778C" w:rsidTr="003F40D4">
        <w:trPr>
          <w:trHeight w:val="459"/>
        </w:trPr>
        <w:tc>
          <w:tcPr>
            <w:tcW w:w="1667" w:type="pct"/>
            <w:shd w:val="clear" w:color="auto" w:fill="auto"/>
            <w:vAlign w:val="center"/>
          </w:tcPr>
          <w:p w:rsidR="00F35766" w:rsidRPr="006B778C" w:rsidRDefault="00F35766" w:rsidP="003F40D4">
            <w:pPr>
              <w:spacing w:after="120" w:line="240" w:lineRule="auto"/>
              <w:rPr>
                <w:b/>
                <w:sz w:val="24"/>
                <w:szCs w:val="24"/>
              </w:rPr>
            </w:pPr>
            <w:r>
              <w:rPr>
                <w:b/>
                <w:sz w:val="24"/>
                <w:szCs w:val="24"/>
              </w:rPr>
              <w:t>Year level: K, P, 1</w:t>
            </w:r>
          </w:p>
        </w:tc>
        <w:tc>
          <w:tcPr>
            <w:tcW w:w="1667" w:type="pct"/>
            <w:gridSpan w:val="4"/>
            <w:shd w:val="clear" w:color="auto" w:fill="auto"/>
            <w:vAlign w:val="center"/>
          </w:tcPr>
          <w:p w:rsidR="00F35766" w:rsidRPr="006B778C" w:rsidRDefault="00F35766" w:rsidP="003F40D4">
            <w:pPr>
              <w:spacing w:after="120" w:line="240" w:lineRule="auto"/>
              <w:jc w:val="center"/>
              <w:rPr>
                <w:b/>
                <w:sz w:val="24"/>
                <w:szCs w:val="24"/>
              </w:rPr>
            </w:pPr>
            <w:r w:rsidRPr="006B778C">
              <w:rPr>
                <w:b/>
                <w:sz w:val="24"/>
                <w:szCs w:val="24"/>
              </w:rPr>
              <w:t>Learning Area</w:t>
            </w:r>
            <w:r>
              <w:rPr>
                <w:b/>
                <w:sz w:val="24"/>
                <w:szCs w:val="24"/>
              </w:rPr>
              <w:t>: Science</w:t>
            </w:r>
          </w:p>
        </w:tc>
        <w:tc>
          <w:tcPr>
            <w:tcW w:w="1666" w:type="pct"/>
            <w:gridSpan w:val="2"/>
            <w:shd w:val="clear" w:color="auto" w:fill="auto"/>
            <w:vAlign w:val="center"/>
          </w:tcPr>
          <w:p w:rsidR="00F35766" w:rsidRPr="006B778C" w:rsidRDefault="00F35766" w:rsidP="003F40D4">
            <w:pPr>
              <w:spacing w:after="120" w:line="240" w:lineRule="auto"/>
              <w:jc w:val="right"/>
              <w:rPr>
                <w:b/>
                <w:sz w:val="24"/>
                <w:szCs w:val="24"/>
              </w:rPr>
            </w:pPr>
            <w:r>
              <w:rPr>
                <w:b/>
              </w:rPr>
              <w:t>Biological Sciences</w:t>
            </w:r>
          </w:p>
        </w:tc>
      </w:tr>
      <w:tr w:rsidR="007B285B" w:rsidRPr="006B778C" w:rsidTr="003F40D4">
        <w:trPr>
          <w:trHeight w:val="459"/>
        </w:trPr>
        <w:tc>
          <w:tcPr>
            <w:tcW w:w="5000" w:type="pct"/>
            <w:gridSpan w:val="7"/>
            <w:shd w:val="clear" w:color="auto" w:fill="582C71"/>
          </w:tcPr>
          <w:p w:rsidR="007B285B" w:rsidRDefault="007B285B" w:rsidP="003F40D4">
            <w:pPr>
              <w:spacing w:after="120" w:line="240" w:lineRule="auto"/>
              <w:jc w:val="center"/>
              <w:rPr>
                <w:b/>
                <w:sz w:val="24"/>
                <w:szCs w:val="24"/>
              </w:rPr>
            </w:pPr>
            <w:r w:rsidRPr="00880227">
              <w:rPr>
                <w:b/>
                <w:color w:val="FFFFFF" w:themeColor="background1"/>
              </w:rPr>
              <w:t>Early Years Learning Framework (EYLF)</w:t>
            </w:r>
          </w:p>
        </w:tc>
      </w:tr>
      <w:tr w:rsidR="007B285B" w:rsidRPr="006B778C" w:rsidTr="003F40D4">
        <w:trPr>
          <w:trHeight w:val="459"/>
        </w:trPr>
        <w:tc>
          <w:tcPr>
            <w:tcW w:w="2500" w:type="pct"/>
            <w:gridSpan w:val="3"/>
            <w:shd w:val="clear" w:color="auto" w:fill="auto"/>
          </w:tcPr>
          <w:p w:rsidR="007B285B" w:rsidRPr="005F68C5" w:rsidRDefault="007B285B" w:rsidP="003F40D4">
            <w:pPr>
              <w:numPr>
                <w:ilvl w:val="0"/>
                <w:numId w:val="1"/>
              </w:numPr>
              <w:spacing w:after="120" w:line="240" w:lineRule="auto"/>
            </w:pPr>
            <w:r w:rsidRPr="002534D7">
              <w:rPr>
                <w:b/>
                <w:bCs/>
              </w:rPr>
              <w:t>IDENTITY</w:t>
            </w:r>
            <w:r w:rsidRPr="005F68C5">
              <w:rPr>
                <w:bCs/>
              </w:rPr>
              <w:t> </w:t>
            </w:r>
            <w:r w:rsidRPr="005F68C5">
              <w:t>- Children have a strong sense of identity.</w:t>
            </w:r>
          </w:p>
          <w:p w:rsidR="007B285B" w:rsidRPr="005F68C5" w:rsidRDefault="007B285B" w:rsidP="003F40D4">
            <w:pPr>
              <w:numPr>
                <w:ilvl w:val="0"/>
                <w:numId w:val="1"/>
              </w:numPr>
              <w:spacing w:after="120" w:line="240" w:lineRule="auto"/>
            </w:pPr>
            <w:r w:rsidRPr="002534D7">
              <w:rPr>
                <w:b/>
                <w:bCs/>
              </w:rPr>
              <w:t>CONNECTING and CONTRIBUTING</w:t>
            </w:r>
            <w:r w:rsidRPr="005F68C5">
              <w:t> - Children are connected with and contribute to their world.</w:t>
            </w:r>
          </w:p>
          <w:p w:rsidR="007B285B" w:rsidRPr="005F68C5" w:rsidRDefault="007B285B" w:rsidP="003F40D4">
            <w:pPr>
              <w:numPr>
                <w:ilvl w:val="0"/>
                <w:numId w:val="1"/>
              </w:numPr>
              <w:spacing w:after="120" w:line="240" w:lineRule="auto"/>
            </w:pPr>
            <w:r w:rsidRPr="002534D7">
              <w:rPr>
                <w:b/>
                <w:bCs/>
              </w:rPr>
              <w:t>WELLBEING</w:t>
            </w:r>
            <w:r w:rsidRPr="005F68C5">
              <w:t> - Children have a strong sense of wellbeing.</w:t>
            </w:r>
          </w:p>
          <w:p w:rsidR="007B285B" w:rsidRPr="005F68C5" w:rsidRDefault="007B285B" w:rsidP="003F40D4">
            <w:pPr>
              <w:numPr>
                <w:ilvl w:val="0"/>
                <w:numId w:val="1"/>
              </w:numPr>
              <w:spacing w:after="120" w:line="240" w:lineRule="auto"/>
            </w:pPr>
            <w:r w:rsidRPr="002534D7">
              <w:rPr>
                <w:b/>
                <w:bCs/>
              </w:rPr>
              <w:t>LEARNING and THINKING</w:t>
            </w:r>
            <w:r w:rsidRPr="005F68C5">
              <w:t> - Children are confident and involved learners.</w:t>
            </w:r>
          </w:p>
          <w:p w:rsidR="007B285B" w:rsidRPr="005F68C5" w:rsidRDefault="007B285B" w:rsidP="003F40D4">
            <w:pPr>
              <w:numPr>
                <w:ilvl w:val="0"/>
                <w:numId w:val="1"/>
              </w:numPr>
              <w:spacing w:after="120" w:line="240" w:lineRule="auto"/>
            </w:pPr>
            <w:r w:rsidRPr="002534D7">
              <w:rPr>
                <w:b/>
                <w:bCs/>
              </w:rPr>
              <w:t>COMMUNICATING</w:t>
            </w:r>
            <w:r w:rsidRPr="005F68C5">
              <w:t> - Children are effective communicators.</w:t>
            </w:r>
          </w:p>
          <w:p w:rsidR="007B285B" w:rsidRDefault="007B285B" w:rsidP="003F40D4">
            <w:pPr>
              <w:spacing w:after="120" w:line="240" w:lineRule="auto"/>
              <w:rPr>
                <w:b/>
                <w:sz w:val="24"/>
                <w:szCs w:val="24"/>
              </w:rPr>
            </w:pPr>
          </w:p>
        </w:tc>
        <w:tc>
          <w:tcPr>
            <w:tcW w:w="2500" w:type="pct"/>
            <w:gridSpan w:val="4"/>
            <w:shd w:val="clear" w:color="auto" w:fill="auto"/>
          </w:tcPr>
          <w:p w:rsidR="007B285B" w:rsidRPr="00593573" w:rsidRDefault="00880227" w:rsidP="003F40D4">
            <w:pPr>
              <w:spacing w:after="120" w:line="240" w:lineRule="auto"/>
              <w:rPr>
                <w:b/>
              </w:rPr>
            </w:pPr>
            <w:r w:rsidRPr="00593573">
              <w:rPr>
                <w:b/>
              </w:rPr>
              <w:t>CONNECTING AND CONTRIBUTING</w:t>
            </w:r>
          </w:p>
          <w:p w:rsidR="007B285B" w:rsidRPr="00593573" w:rsidRDefault="007B285B" w:rsidP="003F40D4">
            <w:pPr>
              <w:spacing w:after="120" w:line="240" w:lineRule="auto"/>
              <w:rPr>
                <w:b/>
              </w:rPr>
            </w:pPr>
            <w:r w:rsidRPr="00593573">
              <w:rPr>
                <w:b/>
              </w:rPr>
              <w:t>Children:</w:t>
            </w:r>
          </w:p>
          <w:p w:rsidR="007B285B" w:rsidRDefault="007B285B" w:rsidP="003F40D4">
            <w:pPr>
              <w:spacing w:after="120" w:line="240" w:lineRule="auto"/>
            </w:pPr>
            <w:r w:rsidRPr="00593573">
              <w:t xml:space="preserve"> </w:t>
            </w:r>
            <w:r w:rsidRPr="00593573">
              <w:sym w:font="Symbol" w:char="F0B7"/>
            </w:r>
            <w:r w:rsidRPr="00593573">
              <w:t xml:space="preserve"> </w:t>
            </w:r>
            <w:r w:rsidRPr="00593573">
              <w:rPr>
                <w:b/>
              </w:rPr>
              <w:t>work with others to develop skills for communication and inquiry about themselves and their world</w:t>
            </w:r>
            <w:r w:rsidRPr="00593573">
              <w:t xml:space="preserve"> - develop skills for working with others and develop inquiry and communication skills </w:t>
            </w:r>
          </w:p>
          <w:p w:rsidR="007B285B" w:rsidRDefault="007B285B" w:rsidP="003F40D4">
            <w:pPr>
              <w:spacing w:after="120" w:line="240" w:lineRule="auto"/>
              <w:rPr>
                <w:b/>
                <w:sz w:val="24"/>
                <w:szCs w:val="24"/>
              </w:rPr>
            </w:pPr>
            <w:r w:rsidRPr="00593573">
              <w:sym w:font="Symbol" w:char="F0B7"/>
            </w:r>
            <w:r w:rsidRPr="00593573">
              <w:t xml:space="preserve"> </w:t>
            </w:r>
            <w:r w:rsidRPr="00593573">
              <w:rPr>
                <w:b/>
              </w:rPr>
              <w:t>show respect for the environment</w:t>
            </w:r>
            <w:r w:rsidRPr="00593573">
              <w:t xml:space="preserve"> - explore natural and constructed environments, investigate the interactions between the environment and its people</w:t>
            </w:r>
          </w:p>
        </w:tc>
      </w:tr>
      <w:tr w:rsidR="007B285B" w:rsidTr="003F40D4">
        <w:trPr>
          <w:trHeight w:val="459"/>
        </w:trPr>
        <w:tc>
          <w:tcPr>
            <w:tcW w:w="1667" w:type="pct"/>
            <w:shd w:val="clear" w:color="auto" w:fill="582C71"/>
          </w:tcPr>
          <w:p w:rsidR="007B285B" w:rsidRPr="00880227" w:rsidRDefault="00880227" w:rsidP="003F40D4">
            <w:pPr>
              <w:spacing w:after="120" w:line="240" w:lineRule="auto"/>
              <w:jc w:val="center"/>
              <w:rPr>
                <w:b/>
                <w:color w:val="FFFFFF" w:themeColor="background1"/>
                <w:sz w:val="24"/>
              </w:rPr>
            </w:pPr>
            <w:r w:rsidRPr="00880227">
              <w:rPr>
                <w:b/>
                <w:color w:val="FFFFFF" w:themeColor="background1"/>
                <w:sz w:val="24"/>
              </w:rPr>
              <w:t>KINDERGARTEN LEARNING AND DEVELOPMENT AREA</w:t>
            </w:r>
          </w:p>
          <w:p w:rsidR="007B285B" w:rsidRPr="00880227" w:rsidRDefault="007B285B" w:rsidP="003F40D4">
            <w:pPr>
              <w:spacing w:after="120" w:line="240" w:lineRule="auto"/>
              <w:jc w:val="center"/>
              <w:rPr>
                <w:b/>
                <w:color w:val="FFFFFF" w:themeColor="background1"/>
              </w:rPr>
            </w:pPr>
          </w:p>
        </w:tc>
        <w:tc>
          <w:tcPr>
            <w:tcW w:w="1667" w:type="pct"/>
            <w:gridSpan w:val="4"/>
            <w:shd w:val="clear" w:color="auto" w:fill="582C71"/>
            <w:vAlign w:val="center"/>
          </w:tcPr>
          <w:p w:rsidR="007B285B" w:rsidRPr="00880227" w:rsidRDefault="007B285B" w:rsidP="003F40D4">
            <w:pPr>
              <w:spacing w:after="120" w:line="240" w:lineRule="auto"/>
              <w:jc w:val="center"/>
              <w:rPr>
                <w:b/>
                <w:color w:val="FFFFFF" w:themeColor="background1"/>
              </w:rPr>
            </w:pPr>
            <w:r w:rsidRPr="00880227">
              <w:rPr>
                <w:b/>
                <w:color w:val="FFFFFF" w:themeColor="background1"/>
              </w:rPr>
              <w:t xml:space="preserve">RELEVANT STATEMENTS FROM THE PRE-PRIMARY </w:t>
            </w:r>
          </w:p>
          <w:p w:rsidR="007B285B" w:rsidRPr="00880227" w:rsidRDefault="007B285B" w:rsidP="003F40D4">
            <w:pPr>
              <w:spacing w:after="120" w:line="240" w:lineRule="auto"/>
              <w:jc w:val="center"/>
              <w:rPr>
                <w:b/>
                <w:color w:val="FFFFFF" w:themeColor="background1"/>
              </w:rPr>
            </w:pPr>
            <w:r w:rsidRPr="00880227">
              <w:rPr>
                <w:b/>
                <w:color w:val="FFFFFF" w:themeColor="background1"/>
              </w:rPr>
              <w:t xml:space="preserve">ACHIEVEMENT STANDARD </w:t>
            </w:r>
          </w:p>
        </w:tc>
        <w:tc>
          <w:tcPr>
            <w:tcW w:w="1666" w:type="pct"/>
            <w:gridSpan w:val="2"/>
            <w:shd w:val="clear" w:color="auto" w:fill="582C71"/>
            <w:vAlign w:val="center"/>
          </w:tcPr>
          <w:p w:rsidR="007B285B" w:rsidRPr="00880227" w:rsidRDefault="007B285B" w:rsidP="003F40D4">
            <w:pPr>
              <w:spacing w:after="120" w:line="240" w:lineRule="auto"/>
              <w:jc w:val="center"/>
              <w:rPr>
                <w:b/>
                <w:color w:val="FFFFFF" w:themeColor="background1"/>
              </w:rPr>
            </w:pPr>
            <w:r w:rsidRPr="00880227">
              <w:rPr>
                <w:b/>
                <w:color w:val="FFFFFF" w:themeColor="background1"/>
              </w:rPr>
              <w:t xml:space="preserve">RELEVANT STATEMENTS FROM THE YEAR 1 </w:t>
            </w:r>
          </w:p>
          <w:p w:rsidR="007B285B" w:rsidRPr="00880227" w:rsidRDefault="007B285B" w:rsidP="003F40D4">
            <w:pPr>
              <w:spacing w:after="120" w:line="240" w:lineRule="auto"/>
              <w:jc w:val="center"/>
              <w:rPr>
                <w:b/>
                <w:color w:val="FFFFFF" w:themeColor="background1"/>
              </w:rPr>
            </w:pPr>
            <w:r w:rsidRPr="00880227">
              <w:rPr>
                <w:b/>
                <w:color w:val="FFFFFF" w:themeColor="background1"/>
              </w:rPr>
              <w:t>ACHIEVEMENT STANDARD</w:t>
            </w:r>
          </w:p>
        </w:tc>
      </w:tr>
      <w:tr w:rsidR="007B285B" w:rsidRPr="009D4FA8" w:rsidTr="003F40D4">
        <w:trPr>
          <w:trHeight w:val="1975"/>
        </w:trPr>
        <w:tc>
          <w:tcPr>
            <w:tcW w:w="1667" w:type="pct"/>
            <w:vMerge w:val="restart"/>
          </w:tcPr>
          <w:p w:rsidR="007B285B" w:rsidRPr="006D482A" w:rsidRDefault="007B285B" w:rsidP="003F40D4">
            <w:pPr>
              <w:spacing w:after="120" w:line="240" w:lineRule="auto"/>
              <w:rPr>
                <w:b/>
              </w:rPr>
            </w:pPr>
            <w:r w:rsidRPr="006D482A">
              <w:rPr>
                <w:b/>
              </w:rPr>
              <w:t>Develop skills for working with others</w:t>
            </w:r>
          </w:p>
          <w:p w:rsidR="007B285B" w:rsidRPr="006D482A" w:rsidRDefault="007B285B" w:rsidP="003F40D4">
            <w:pPr>
              <w:numPr>
                <w:ilvl w:val="0"/>
                <w:numId w:val="1"/>
              </w:numPr>
              <w:spacing w:after="120" w:line="240" w:lineRule="auto"/>
              <w:rPr>
                <w:b/>
              </w:rPr>
            </w:pPr>
            <w:r w:rsidRPr="004C4587">
              <w:t>share observations with others as they explore their immediate world using their five senses </w:t>
            </w:r>
            <w:r w:rsidRPr="004C4587">
              <w:rPr>
                <w:i/>
                <w:iCs/>
              </w:rPr>
              <w:t>(connects to the Science Curriculum)</w:t>
            </w:r>
          </w:p>
          <w:p w:rsidR="007B285B" w:rsidRDefault="007B285B" w:rsidP="003F40D4">
            <w:pPr>
              <w:spacing w:after="120" w:line="240" w:lineRule="auto"/>
              <w:rPr>
                <w:b/>
              </w:rPr>
            </w:pPr>
            <w:r w:rsidRPr="006D482A">
              <w:rPr>
                <w:b/>
              </w:rPr>
              <w:t>Develop inquiry and communication skills</w:t>
            </w:r>
          </w:p>
          <w:p w:rsidR="007B285B" w:rsidRPr="006D482A" w:rsidRDefault="007B285B" w:rsidP="003F40D4">
            <w:pPr>
              <w:numPr>
                <w:ilvl w:val="0"/>
                <w:numId w:val="2"/>
              </w:numPr>
              <w:spacing w:after="120" w:line="240" w:lineRule="auto"/>
            </w:pPr>
            <w:r w:rsidRPr="006D482A">
              <w:t>plan and carry out a few simple sequenced steps when exploring and investigating </w:t>
            </w:r>
            <w:r w:rsidRPr="006D482A">
              <w:rPr>
                <w:i/>
                <w:iCs/>
              </w:rPr>
              <w:t>(connects to the Science Curriculum and Technologies Curriculum)</w:t>
            </w:r>
          </w:p>
          <w:p w:rsidR="007B285B" w:rsidRPr="006D482A" w:rsidRDefault="007B285B" w:rsidP="003F40D4">
            <w:pPr>
              <w:numPr>
                <w:ilvl w:val="0"/>
                <w:numId w:val="2"/>
              </w:numPr>
              <w:spacing w:after="120" w:line="240" w:lineRule="auto"/>
            </w:pPr>
            <w:r w:rsidRPr="006D482A">
              <w:t>use simple language of measurement to describe, compare, order or sort the observations made when exploring </w:t>
            </w:r>
            <w:r w:rsidRPr="006D482A">
              <w:rPr>
                <w:i/>
                <w:iCs/>
              </w:rPr>
              <w:t>(connects to the Mathematics Curriculum and the Science Curriculum)</w:t>
            </w:r>
          </w:p>
          <w:p w:rsidR="007B285B" w:rsidRPr="006D482A" w:rsidRDefault="007B285B" w:rsidP="003F40D4">
            <w:pPr>
              <w:spacing w:after="120" w:line="240" w:lineRule="auto"/>
              <w:rPr>
                <w:b/>
              </w:rPr>
            </w:pPr>
            <w:r w:rsidRPr="006D482A">
              <w:rPr>
                <w:b/>
              </w:rPr>
              <w:t>Investigate the interactions between the environment and its people</w:t>
            </w:r>
          </w:p>
          <w:p w:rsidR="007B285B" w:rsidRDefault="007B285B" w:rsidP="003F40D4">
            <w:pPr>
              <w:spacing w:after="120" w:line="240" w:lineRule="auto"/>
              <w:rPr>
                <w:b/>
              </w:rPr>
            </w:pPr>
            <w:r w:rsidRPr="006D482A">
              <w:rPr>
                <w:b/>
              </w:rPr>
              <w:t>(connects to the Science Curriculum)</w:t>
            </w:r>
          </w:p>
          <w:p w:rsidR="007B285B" w:rsidRPr="006D482A" w:rsidRDefault="007B285B" w:rsidP="003F40D4">
            <w:pPr>
              <w:numPr>
                <w:ilvl w:val="0"/>
                <w:numId w:val="3"/>
              </w:numPr>
              <w:spacing w:after="120" w:line="240" w:lineRule="auto"/>
            </w:pPr>
            <w:r w:rsidRPr="006D482A">
              <w:t>describe the basic needs of people, plants and animals, and places where they live</w:t>
            </w:r>
          </w:p>
          <w:p w:rsidR="007B285B" w:rsidRPr="006D482A" w:rsidRDefault="007B285B" w:rsidP="003F40D4">
            <w:pPr>
              <w:numPr>
                <w:ilvl w:val="0"/>
                <w:numId w:val="3"/>
              </w:numPr>
              <w:spacing w:after="120" w:line="240" w:lineRule="auto"/>
            </w:pPr>
            <w:r w:rsidRPr="006D482A">
              <w:t>investigate places where people, plants and animals live</w:t>
            </w:r>
          </w:p>
          <w:p w:rsidR="007B285B" w:rsidRPr="006D482A" w:rsidRDefault="007B285B" w:rsidP="003F40D4">
            <w:pPr>
              <w:numPr>
                <w:ilvl w:val="0"/>
                <w:numId w:val="3"/>
              </w:numPr>
              <w:spacing w:after="120" w:line="240" w:lineRule="auto"/>
            </w:pPr>
            <w:r w:rsidRPr="006D482A">
              <w:t>describe relationships that are living and non-living things</w:t>
            </w:r>
          </w:p>
          <w:p w:rsidR="007B285B" w:rsidRPr="006D482A" w:rsidRDefault="007B285B" w:rsidP="003F40D4">
            <w:pPr>
              <w:numPr>
                <w:ilvl w:val="0"/>
                <w:numId w:val="3"/>
              </w:numPr>
              <w:spacing w:after="120" w:line="240" w:lineRule="auto"/>
            </w:pPr>
            <w:r w:rsidRPr="006D482A">
              <w:t>discuss how not caring for the environment might harm it </w:t>
            </w:r>
            <w:r w:rsidRPr="006D482A">
              <w:rPr>
                <w:i/>
                <w:iCs/>
              </w:rPr>
              <w:t>(connects to the Humanities and Social Sciences Curriculum)</w:t>
            </w:r>
          </w:p>
          <w:p w:rsidR="007B285B" w:rsidRPr="00FF7730" w:rsidRDefault="007B285B" w:rsidP="003F40D4">
            <w:pPr>
              <w:numPr>
                <w:ilvl w:val="0"/>
                <w:numId w:val="3"/>
              </w:numPr>
              <w:spacing w:after="120" w:line="240" w:lineRule="auto"/>
            </w:pPr>
            <w:r w:rsidRPr="006D482A">
              <w:t>infer, predict and hypothesise in order to develop an increased understanding of the interdependence between land, people, plants and animals</w:t>
            </w:r>
          </w:p>
          <w:p w:rsidR="007B285B" w:rsidRPr="00FF7730" w:rsidRDefault="007B285B" w:rsidP="003F40D4">
            <w:pPr>
              <w:spacing w:after="120" w:line="240" w:lineRule="auto"/>
            </w:pPr>
            <w:bookmarkStart w:id="0" w:name="_GoBack"/>
            <w:bookmarkEnd w:id="0"/>
          </w:p>
        </w:tc>
        <w:tc>
          <w:tcPr>
            <w:tcW w:w="1667" w:type="pct"/>
            <w:gridSpan w:val="4"/>
            <w:shd w:val="clear" w:color="auto" w:fill="auto"/>
          </w:tcPr>
          <w:p w:rsidR="007B285B" w:rsidRPr="005F0DCD" w:rsidRDefault="007B285B" w:rsidP="003F40D4">
            <w:pPr>
              <w:spacing w:after="120" w:line="240" w:lineRule="auto"/>
              <w:rPr>
                <w:b/>
              </w:rPr>
            </w:pPr>
            <w:r w:rsidRPr="005F0DCD">
              <w:rPr>
                <w:b/>
                <w:bCs/>
              </w:rPr>
              <w:t>Science Understanding</w:t>
            </w:r>
          </w:p>
          <w:p w:rsidR="007B285B" w:rsidRPr="005F0DCD" w:rsidRDefault="007B285B" w:rsidP="003F40D4">
            <w:pPr>
              <w:spacing w:after="120" w:line="240" w:lineRule="auto"/>
            </w:pPr>
            <w:r w:rsidRPr="005F0DCD">
              <w:t>At Standard, students describe the properties and behaviour of </w:t>
            </w:r>
            <w:hyperlink r:id="rId7" w:tooltip="Display the glossary entry for familiar" w:history="1">
              <w:r w:rsidRPr="005F0DCD">
                <w:rPr>
                  <w:rStyle w:val="Hyperlink"/>
                  <w:color w:val="auto"/>
                  <w:u w:val="none"/>
                </w:rPr>
                <w:t>familiar</w:t>
              </w:r>
            </w:hyperlink>
            <w:r w:rsidRPr="005F0DCD">
              <w:t> objects. They suggest how the </w:t>
            </w:r>
            <w:hyperlink r:id="rId8" w:tooltip="Display the glossary entry for environment" w:history="1">
              <w:r w:rsidRPr="005F0DCD">
                <w:rPr>
                  <w:rStyle w:val="Hyperlink"/>
                  <w:color w:val="auto"/>
                  <w:u w:val="none"/>
                </w:rPr>
                <w:t>environment</w:t>
              </w:r>
            </w:hyperlink>
            <w:r w:rsidRPr="005F0DCD">
              <w:t> affects them and other living things.</w:t>
            </w:r>
          </w:p>
          <w:p w:rsidR="007B285B" w:rsidRPr="005F0DCD" w:rsidRDefault="007B285B" w:rsidP="003F40D4">
            <w:pPr>
              <w:spacing w:after="120" w:line="240" w:lineRule="auto"/>
              <w:rPr>
                <w:b/>
              </w:rPr>
            </w:pPr>
            <w:r w:rsidRPr="005F0DCD">
              <w:rPr>
                <w:b/>
                <w:bCs/>
              </w:rPr>
              <w:t>Science as a Human Endeavour</w:t>
            </w:r>
          </w:p>
          <w:p w:rsidR="007B285B" w:rsidRPr="005F0DCD" w:rsidRDefault="007B285B" w:rsidP="003F40D4">
            <w:pPr>
              <w:spacing w:after="120" w:line="240" w:lineRule="auto"/>
            </w:pPr>
            <w:r w:rsidRPr="005F0DCD">
              <w:t>Students share and </w:t>
            </w:r>
            <w:hyperlink r:id="rId9" w:tooltip="Display the glossary entry for reflect on" w:history="1">
              <w:r w:rsidRPr="005F0DCD">
                <w:rPr>
                  <w:rStyle w:val="Hyperlink"/>
                  <w:color w:val="auto"/>
                  <w:u w:val="none"/>
                </w:rPr>
                <w:t>reflect on</w:t>
              </w:r>
            </w:hyperlink>
            <w:r w:rsidRPr="005F0DCD">
              <w:t> observations.</w:t>
            </w:r>
          </w:p>
          <w:p w:rsidR="007B285B" w:rsidRPr="005F0DCD" w:rsidRDefault="007B285B" w:rsidP="003F40D4">
            <w:pPr>
              <w:spacing w:after="120" w:line="240" w:lineRule="auto"/>
              <w:rPr>
                <w:b/>
              </w:rPr>
            </w:pPr>
            <w:r w:rsidRPr="005F0DCD">
              <w:rPr>
                <w:b/>
                <w:bCs/>
              </w:rPr>
              <w:t>Science Inquiry Skills</w:t>
            </w:r>
          </w:p>
          <w:p w:rsidR="007B285B" w:rsidRPr="005F0DCD" w:rsidRDefault="007B285B" w:rsidP="003F40D4">
            <w:pPr>
              <w:spacing w:after="120" w:line="240" w:lineRule="auto"/>
              <w:rPr>
                <w:b/>
              </w:rPr>
            </w:pPr>
            <w:r w:rsidRPr="005F0DCD">
              <w:t>Students ask and respond to questions about </w:t>
            </w:r>
            <w:hyperlink r:id="rId10" w:tooltip="Display the glossary entry for familiar" w:history="1">
              <w:r w:rsidRPr="005F0DCD">
                <w:rPr>
                  <w:rStyle w:val="Hyperlink"/>
                  <w:color w:val="auto"/>
                  <w:u w:val="none"/>
                </w:rPr>
                <w:t>familiar</w:t>
              </w:r>
            </w:hyperlink>
            <w:r w:rsidRPr="005F0DCD">
              <w:t> objects and events</w:t>
            </w:r>
            <w:r w:rsidRPr="005F0DCD">
              <w:rPr>
                <w:b/>
              </w:rPr>
              <w:t>.</w:t>
            </w:r>
          </w:p>
        </w:tc>
        <w:tc>
          <w:tcPr>
            <w:tcW w:w="1666" w:type="pct"/>
            <w:gridSpan w:val="2"/>
            <w:shd w:val="clear" w:color="auto" w:fill="auto"/>
          </w:tcPr>
          <w:p w:rsidR="007B285B" w:rsidRPr="005F0DCD" w:rsidRDefault="007B285B" w:rsidP="003F40D4">
            <w:pPr>
              <w:spacing w:after="120" w:line="240" w:lineRule="auto"/>
              <w:rPr>
                <w:b/>
              </w:rPr>
            </w:pPr>
            <w:r w:rsidRPr="005F0DCD">
              <w:rPr>
                <w:b/>
                <w:bCs/>
              </w:rPr>
              <w:t>Science Understanding</w:t>
            </w:r>
          </w:p>
          <w:p w:rsidR="007B285B" w:rsidRPr="005F0DCD" w:rsidRDefault="007B285B" w:rsidP="003F40D4">
            <w:pPr>
              <w:spacing w:after="120" w:line="240" w:lineRule="auto"/>
            </w:pPr>
            <w:r w:rsidRPr="005F0DCD">
              <w:t>At Standard, students describe objects and events that they encounter in their everyday lives, and the effects of interacting with materials and objects. They describe the external features of living things and how different places meet the needs of living things. Students describe changes in their local </w:t>
            </w:r>
            <w:hyperlink r:id="rId11" w:tooltip="Display the glossary entry for environment" w:history="1">
              <w:r w:rsidRPr="005F0DCD">
                <w:rPr>
                  <w:rStyle w:val="Hyperlink"/>
                  <w:color w:val="auto"/>
                  <w:u w:val="none"/>
                </w:rPr>
                <w:t>environment</w:t>
              </w:r>
            </w:hyperlink>
            <w:r w:rsidRPr="005F0DCD">
              <w:t>.</w:t>
            </w:r>
          </w:p>
          <w:p w:rsidR="007B285B" w:rsidRPr="005F0DCD" w:rsidRDefault="007B285B" w:rsidP="003F40D4">
            <w:pPr>
              <w:spacing w:after="120" w:line="240" w:lineRule="auto"/>
              <w:rPr>
                <w:b/>
              </w:rPr>
            </w:pPr>
            <w:r w:rsidRPr="005F0DCD">
              <w:rPr>
                <w:b/>
                <w:bCs/>
              </w:rPr>
              <w:t>Science as a Human Endeavour</w:t>
            </w:r>
          </w:p>
          <w:p w:rsidR="007B285B" w:rsidRPr="005F0DCD" w:rsidRDefault="007B285B" w:rsidP="003F40D4">
            <w:pPr>
              <w:spacing w:after="120" w:line="240" w:lineRule="auto"/>
            </w:pPr>
            <w:r w:rsidRPr="005F0DCD">
              <w:t>Students share how people use science in their daily lives, including when caring for the </w:t>
            </w:r>
            <w:hyperlink r:id="rId12" w:tooltip="Display the glossary entry for environment" w:history="1">
              <w:r w:rsidRPr="005F0DCD">
                <w:rPr>
                  <w:rStyle w:val="Hyperlink"/>
                  <w:color w:val="auto"/>
                  <w:u w:val="none"/>
                </w:rPr>
                <w:t>environment</w:t>
              </w:r>
            </w:hyperlink>
            <w:r w:rsidRPr="005F0DCD">
              <w:t> and living things.</w:t>
            </w:r>
          </w:p>
          <w:p w:rsidR="007B285B" w:rsidRPr="005F0DCD" w:rsidRDefault="007B285B" w:rsidP="003F40D4">
            <w:pPr>
              <w:spacing w:after="120" w:line="240" w:lineRule="auto"/>
              <w:rPr>
                <w:b/>
              </w:rPr>
            </w:pPr>
            <w:r w:rsidRPr="005F0DCD">
              <w:rPr>
                <w:b/>
                <w:bCs/>
              </w:rPr>
              <w:t>Science Inquiry Skills</w:t>
            </w:r>
          </w:p>
          <w:p w:rsidR="007B285B" w:rsidRPr="005F0DCD" w:rsidRDefault="007B285B" w:rsidP="003F40D4">
            <w:pPr>
              <w:spacing w:after="120" w:line="240" w:lineRule="auto"/>
            </w:pPr>
            <w:r w:rsidRPr="005F0DCD">
              <w:t>Students respond to questions, make predictions, and participate in guided investigations of everyday phenomena. They follow instructions to record and sort their observations and share them with others.</w:t>
            </w:r>
          </w:p>
        </w:tc>
      </w:tr>
      <w:tr w:rsidR="007B285B" w:rsidTr="003F40D4">
        <w:trPr>
          <w:trHeight w:val="459"/>
        </w:trPr>
        <w:tc>
          <w:tcPr>
            <w:tcW w:w="1667" w:type="pct"/>
            <w:vMerge/>
            <w:shd w:val="clear" w:color="auto" w:fill="CCC0D9"/>
          </w:tcPr>
          <w:p w:rsidR="007B285B" w:rsidRPr="00FF7702" w:rsidRDefault="007B285B" w:rsidP="003F40D4">
            <w:pPr>
              <w:pStyle w:val="ListParagraph"/>
              <w:numPr>
                <w:ilvl w:val="0"/>
                <w:numId w:val="4"/>
              </w:numPr>
              <w:spacing w:after="120" w:line="240" w:lineRule="auto"/>
              <w:rPr>
                <w:b/>
              </w:rPr>
            </w:pPr>
          </w:p>
        </w:tc>
        <w:tc>
          <w:tcPr>
            <w:tcW w:w="183" w:type="pct"/>
            <w:tcBorders>
              <w:right w:val="nil"/>
            </w:tcBorders>
            <w:shd w:val="clear" w:color="auto" w:fill="582C71"/>
          </w:tcPr>
          <w:p w:rsidR="007B285B" w:rsidRPr="00FF7702" w:rsidRDefault="007B285B" w:rsidP="003F40D4">
            <w:pPr>
              <w:spacing w:after="120" w:line="240" w:lineRule="auto"/>
              <w:jc w:val="center"/>
              <w:rPr>
                <w:b/>
              </w:rPr>
            </w:pPr>
          </w:p>
        </w:tc>
        <w:tc>
          <w:tcPr>
            <w:tcW w:w="1050" w:type="pct"/>
            <w:gridSpan w:val="2"/>
            <w:tcBorders>
              <w:left w:val="nil"/>
            </w:tcBorders>
            <w:shd w:val="clear" w:color="auto" w:fill="582C71"/>
            <w:vAlign w:val="center"/>
          </w:tcPr>
          <w:p w:rsidR="007B285B" w:rsidRPr="00880227" w:rsidRDefault="00C04DE2" w:rsidP="003F40D4">
            <w:pPr>
              <w:spacing w:after="120" w:line="240" w:lineRule="auto"/>
              <w:jc w:val="center"/>
              <w:rPr>
                <w:b/>
                <w:color w:val="FFFFFF" w:themeColor="background1"/>
              </w:rPr>
            </w:pPr>
            <w:r>
              <w:rPr>
                <w:b/>
                <w:color w:val="FFFFFF" w:themeColor="background1"/>
              </w:rPr>
              <w:t>PRE-PRIMARY</w:t>
            </w:r>
            <w:r w:rsidR="007B285B" w:rsidRPr="00880227">
              <w:rPr>
                <w:b/>
                <w:color w:val="FFFFFF" w:themeColor="background1"/>
              </w:rPr>
              <w:t xml:space="preserve"> CONTENT</w:t>
            </w:r>
          </w:p>
        </w:tc>
        <w:tc>
          <w:tcPr>
            <w:tcW w:w="1050" w:type="pct"/>
            <w:gridSpan w:val="2"/>
            <w:shd w:val="clear" w:color="auto" w:fill="582C71"/>
            <w:vAlign w:val="center"/>
          </w:tcPr>
          <w:p w:rsidR="007B285B" w:rsidRPr="00880227" w:rsidRDefault="007B285B" w:rsidP="003F40D4">
            <w:pPr>
              <w:spacing w:after="120" w:line="240" w:lineRule="auto"/>
              <w:jc w:val="center"/>
              <w:rPr>
                <w:rFonts w:cstheme="minorHAnsi"/>
                <w:b/>
                <w:color w:val="FFFFFF" w:themeColor="background1"/>
              </w:rPr>
            </w:pPr>
            <w:r w:rsidRPr="00880227">
              <w:rPr>
                <w:rFonts w:cstheme="minorHAnsi"/>
                <w:b/>
                <w:color w:val="FFFFFF" w:themeColor="background1"/>
              </w:rPr>
              <w:t>←</w:t>
            </w:r>
            <w:r w:rsidRPr="00880227">
              <w:rPr>
                <w:b/>
                <w:color w:val="FFFFFF" w:themeColor="background1"/>
              </w:rPr>
              <w:t>YEAR P/1</w:t>
            </w:r>
            <w:r w:rsidRPr="00880227">
              <w:rPr>
                <w:rFonts w:cstheme="minorHAnsi"/>
                <w:b/>
                <w:color w:val="FFFFFF" w:themeColor="background1"/>
              </w:rPr>
              <w:t>→</w:t>
            </w:r>
          </w:p>
          <w:p w:rsidR="007B285B" w:rsidRPr="00880227" w:rsidRDefault="007B285B" w:rsidP="003F40D4">
            <w:pPr>
              <w:spacing w:after="120" w:line="240" w:lineRule="auto"/>
              <w:jc w:val="center"/>
              <w:rPr>
                <w:b/>
                <w:color w:val="FFFFFF" w:themeColor="background1"/>
              </w:rPr>
            </w:pPr>
            <w:r w:rsidRPr="00880227">
              <w:rPr>
                <w:rFonts w:cstheme="minorHAnsi"/>
                <w:b/>
                <w:color w:val="FFFFFF" w:themeColor="background1"/>
              </w:rPr>
              <w:t>Conceptual links</w:t>
            </w:r>
          </w:p>
        </w:tc>
        <w:tc>
          <w:tcPr>
            <w:tcW w:w="1050" w:type="pct"/>
            <w:shd w:val="clear" w:color="auto" w:fill="582C71"/>
            <w:vAlign w:val="center"/>
          </w:tcPr>
          <w:p w:rsidR="007B285B" w:rsidRPr="00880227" w:rsidRDefault="007B285B" w:rsidP="003F40D4">
            <w:pPr>
              <w:spacing w:after="120" w:line="240" w:lineRule="auto"/>
              <w:jc w:val="center"/>
              <w:rPr>
                <w:b/>
                <w:color w:val="FFFFFF" w:themeColor="background1"/>
              </w:rPr>
            </w:pPr>
            <w:r w:rsidRPr="00880227">
              <w:rPr>
                <w:b/>
                <w:color w:val="FFFFFF" w:themeColor="background1"/>
              </w:rPr>
              <w:t>YEAR 1 CONTENT</w:t>
            </w:r>
          </w:p>
        </w:tc>
      </w:tr>
      <w:tr w:rsidR="007B285B" w:rsidTr="003F40D4">
        <w:trPr>
          <w:cantSplit/>
          <w:trHeight w:val="1915"/>
        </w:trPr>
        <w:tc>
          <w:tcPr>
            <w:tcW w:w="1667" w:type="pct"/>
            <w:vMerge/>
          </w:tcPr>
          <w:p w:rsidR="007B285B" w:rsidRPr="000A45B6" w:rsidRDefault="007B285B" w:rsidP="003F40D4">
            <w:pPr>
              <w:pStyle w:val="ListParagraph"/>
              <w:numPr>
                <w:ilvl w:val="0"/>
                <w:numId w:val="4"/>
              </w:numPr>
              <w:spacing w:after="120" w:line="240" w:lineRule="auto"/>
            </w:pPr>
          </w:p>
        </w:tc>
        <w:tc>
          <w:tcPr>
            <w:tcW w:w="183" w:type="pct"/>
            <w:textDirection w:val="btLr"/>
          </w:tcPr>
          <w:p w:rsidR="007B285B" w:rsidRPr="004275F7" w:rsidRDefault="007B285B" w:rsidP="003F40D4">
            <w:pPr>
              <w:spacing w:after="120" w:line="240" w:lineRule="auto"/>
              <w:ind w:left="113" w:right="113"/>
              <w:jc w:val="center"/>
            </w:pPr>
            <w:r w:rsidRPr="00235F1F">
              <w:rPr>
                <w:b/>
              </w:rPr>
              <w:t>Science understanding</w:t>
            </w:r>
          </w:p>
        </w:tc>
        <w:tc>
          <w:tcPr>
            <w:tcW w:w="1050" w:type="pct"/>
            <w:gridSpan w:val="2"/>
            <w:shd w:val="clear" w:color="auto" w:fill="auto"/>
          </w:tcPr>
          <w:p w:rsidR="007B285B" w:rsidRDefault="007B285B" w:rsidP="003F40D4">
            <w:pPr>
              <w:spacing w:after="120" w:line="240" w:lineRule="auto"/>
            </w:pPr>
            <w:r w:rsidRPr="00EF6858">
              <w:rPr>
                <w:lang w:val="en-US"/>
              </w:rPr>
              <w:t>Living things have basic needs, including food and water</w:t>
            </w:r>
            <w:r>
              <w:rPr>
                <w:lang w:val="en-US"/>
              </w:rPr>
              <w:t>.</w:t>
            </w:r>
          </w:p>
          <w:p w:rsidR="007B285B" w:rsidRPr="00C25E3C" w:rsidRDefault="007B285B" w:rsidP="003F40D4">
            <w:pPr>
              <w:spacing w:after="120" w:line="240" w:lineRule="auto"/>
            </w:pPr>
          </w:p>
        </w:tc>
        <w:tc>
          <w:tcPr>
            <w:tcW w:w="1050" w:type="pct"/>
            <w:gridSpan w:val="2"/>
            <w:shd w:val="clear" w:color="auto" w:fill="auto"/>
          </w:tcPr>
          <w:p w:rsidR="007B285B" w:rsidRDefault="007B285B" w:rsidP="003F40D4">
            <w:pPr>
              <w:spacing w:after="120" w:line="240" w:lineRule="auto"/>
            </w:pPr>
            <w:r>
              <w:t>Living things have needs.</w:t>
            </w:r>
          </w:p>
          <w:p w:rsidR="007B285B" w:rsidRPr="00C03600" w:rsidRDefault="007B285B" w:rsidP="003F40D4">
            <w:pPr>
              <w:spacing w:after="120" w:line="240" w:lineRule="auto"/>
            </w:pPr>
            <w:r>
              <w:t>Living things live where they can survive.</w:t>
            </w:r>
          </w:p>
        </w:tc>
        <w:tc>
          <w:tcPr>
            <w:tcW w:w="1050" w:type="pct"/>
            <w:shd w:val="clear" w:color="auto" w:fill="auto"/>
          </w:tcPr>
          <w:p w:rsidR="007B285B" w:rsidRPr="00EF6858" w:rsidRDefault="007B285B" w:rsidP="003F40D4">
            <w:pPr>
              <w:spacing w:after="120" w:line="240" w:lineRule="auto"/>
              <w:rPr>
                <w:lang w:val="en-US"/>
              </w:rPr>
            </w:pPr>
            <w:r w:rsidRPr="00EF6858">
              <w:rPr>
                <w:lang w:val="en-US"/>
              </w:rPr>
              <w:t>Living things have a variety of external features</w:t>
            </w:r>
          </w:p>
          <w:p w:rsidR="007B285B" w:rsidRPr="00C03600" w:rsidRDefault="007B285B" w:rsidP="003F40D4">
            <w:pPr>
              <w:spacing w:after="120" w:line="240" w:lineRule="auto"/>
            </w:pPr>
            <w:r w:rsidRPr="00EF6858">
              <w:rPr>
                <w:lang w:val="en-US"/>
              </w:rPr>
              <w:t>Living things live in different places where their needs are met</w:t>
            </w:r>
          </w:p>
        </w:tc>
      </w:tr>
      <w:tr w:rsidR="007B285B" w:rsidTr="003F40D4">
        <w:trPr>
          <w:cantSplit/>
          <w:trHeight w:val="1134"/>
        </w:trPr>
        <w:tc>
          <w:tcPr>
            <w:tcW w:w="1667" w:type="pct"/>
            <w:vMerge/>
          </w:tcPr>
          <w:p w:rsidR="007B285B" w:rsidRPr="004275F7" w:rsidRDefault="007B285B" w:rsidP="003F40D4">
            <w:pPr>
              <w:spacing w:after="120" w:line="240" w:lineRule="auto"/>
            </w:pPr>
          </w:p>
        </w:tc>
        <w:tc>
          <w:tcPr>
            <w:tcW w:w="183" w:type="pct"/>
            <w:textDirection w:val="btLr"/>
          </w:tcPr>
          <w:p w:rsidR="007B285B" w:rsidRPr="004275F7" w:rsidRDefault="007B285B" w:rsidP="003F40D4">
            <w:pPr>
              <w:spacing w:after="120" w:line="240" w:lineRule="auto"/>
              <w:ind w:left="113" w:right="113"/>
              <w:jc w:val="center"/>
            </w:pPr>
            <w:r w:rsidRPr="00235F1F">
              <w:rPr>
                <w:b/>
              </w:rPr>
              <w:t>Science as a human endeavour</w:t>
            </w:r>
          </w:p>
        </w:tc>
        <w:tc>
          <w:tcPr>
            <w:tcW w:w="1050" w:type="pct"/>
            <w:gridSpan w:val="2"/>
            <w:shd w:val="clear" w:color="auto" w:fill="auto"/>
          </w:tcPr>
          <w:p w:rsidR="007B285B" w:rsidRDefault="007B285B" w:rsidP="003F40D4">
            <w:pPr>
              <w:spacing w:after="120" w:line="240" w:lineRule="auto"/>
            </w:pPr>
            <w:r w:rsidRPr="00EF6858">
              <w:rPr>
                <w:lang w:val="en-US"/>
              </w:rPr>
              <w:t>Science involves observing, asking questions about, and describing changes in, objects and events</w:t>
            </w:r>
            <w:r>
              <w:rPr>
                <w:lang w:val="en-US"/>
              </w:rPr>
              <w:t>.</w:t>
            </w:r>
          </w:p>
        </w:tc>
        <w:tc>
          <w:tcPr>
            <w:tcW w:w="1050" w:type="pct"/>
            <w:gridSpan w:val="2"/>
            <w:shd w:val="clear" w:color="auto" w:fill="auto"/>
          </w:tcPr>
          <w:p w:rsidR="007B285B" w:rsidRDefault="007B285B" w:rsidP="003F40D4">
            <w:pPr>
              <w:spacing w:after="120" w:line="240" w:lineRule="auto"/>
            </w:pPr>
            <w:r>
              <w:t xml:space="preserve">Science is about asking questions and making observations. </w:t>
            </w:r>
          </w:p>
          <w:p w:rsidR="007B285B" w:rsidRDefault="007B285B" w:rsidP="003F40D4">
            <w:pPr>
              <w:spacing w:after="120" w:line="240" w:lineRule="auto"/>
            </w:pPr>
            <w:r>
              <w:t>Science is about describing change.</w:t>
            </w:r>
          </w:p>
          <w:p w:rsidR="007B285B" w:rsidRDefault="007B285B" w:rsidP="003F40D4">
            <w:pPr>
              <w:spacing w:after="120" w:line="240" w:lineRule="auto"/>
            </w:pPr>
            <w:r>
              <w:t>Science is part of our daily life.</w:t>
            </w:r>
          </w:p>
        </w:tc>
        <w:tc>
          <w:tcPr>
            <w:tcW w:w="1050" w:type="pct"/>
            <w:shd w:val="clear" w:color="auto" w:fill="auto"/>
          </w:tcPr>
          <w:p w:rsidR="007B285B" w:rsidRDefault="007B285B" w:rsidP="003F40D4">
            <w:pPr>
              <w:spacing w:after="120" w:line="240" w:lineRule="auto"/>
            </w:pPr>
            <w:r>
              <w:t xml:space="preserve">Science involves observing, asking questions about, and describing changes in, objects and events </w:t>
            </w:r>
          </w:p>
          <w:p w:rsidR="005F0DCD" w:rsidRDefault="007B285B" w:rsidP="003F40D4">
            <w:pPr>
              <w:spacing w:after="120" w:line="240" w:lineRule="auto"/>
            </w:pPr>
            <w:r>
              <w:t>People use science in their daily lives, including when caring for their environment and living things</w:t>
            </w:r>
          </w:p>
          <w:p w:rsidR="005F0DCD" w:rsidRDefault="005F0DCD" w:rsidP="003F40D4">
            <w:pPr>
              <w:spacing w:after="120" w:line="240" w:lineRule="auto"/>
            </w:pPr>
          </w:p>
        </w:tc>
      </w:tr>
      <w:tr w:rsidR="007B285B" w:rsidTr="003F40D4">
        <w:trPr>
          <w:cantSplit/>
          <w:trHeight w:val="1134"/>
        </w:trPr>
        <w:tc>
          <w:tcPr>
            <w:tcW w:w="1667" w:type="pct"/>
            <w:vMerge/>
          </w:tcPr>
          <w:p w:rsidR="007B285B" w:rsidRPr="004275F7" w:rsidRDefault="007B285B" w:rsidP="003F40D4">
            <w:pPr>
              <w:spacing w:after="120" w:line="240" w:lineRule="auto"/>
            </w:pPr>
          </w:p>
        </w:tc>
        <w:tc>
          <w:tcPr>
            <w:tcW w:w="183" w:type="pct"/>
            <w:textDirection w:val="btLr"/>
          </w:tcPr>
          <w:p w:rsidR="007B285B" w:rsidRPr="005F0DCD" w:rsidRDefault="005F0DCD" w:rsidP="003F40D4">
            <w:pPr>
              <w:spacing w:after="120" w:line="240" w:lineRule="auto"/>
              <w:ind w:left="113" w:right="113"/>
              <w:jc w:val="center"/>
              <w:rPr>
                <w:b/>
              </w:rPr>
            </w:pPr>
            <w:r w:rsidRPr="005F0DCD">
              <w:rPr>
                <w:b/>
              </w:rPr>
              <w:t>Science inquiry skills</w:t>
            </w:r>
          </w:p>
        </w:tc>
        <w:tc>
          <w:tcPr>
            <w:tcW w:w="1050" w:type="pct"/>
            <w:gridSpan w:val="2"/>
            <w:shd w:val="clear" w:color="auto" w:fill="auto"/>
          </w:tcPr>
          <w:p w:rsidR="005F0DCD" w:rsidRPr="005F0DCD" w:rsidRDefault="005F0DCD" w:rsidP="003F40D4">
            <w:pPr>
              <w:spacing w:after="120" w:line="240" w:lineRule="auto"/>
            </w:pPr>
            <w:r w:rsidRPr="005F0DCD">
              <w:t>Pose and respond to questions about familiar objects and events</w:t>
            </w:r>
          </w:p>
          <w:p w:rsidR="005F0DCD" w:rsidRPr="005F0DCD" w:rsidRDefault="005F0DCD" w:rsidP="003F40D4">
            <w:pPr>
              <w:spacing w:after="120" w:line="240" w:lineRule="auto"/>
            </w:pPr>
            <w:r w:rsidRPr="005F0DCD">
              <w:t>Participate in guided investigations and make observations using the senses</w:t>
            </w:r>
          </w:p>
          <w:p w:rsidR="005F0DCD" w:rsidRPr="005F0DCD" w:rsidRDefault="005F0DCD" w:rsidP="003F40D4">
            <w:pPr>
              <w:spacing w:after="120" w:line="240" w:lineRule="auto"/>
            </w:pPr>
            <w:r w:rsidRPr="005F0DCD">
              <w:t>Engage in discussions about observations and represent ideas</w:t>
            </w:r>
          </w:p>
          <w:p w:rsidR="007B285B" w:rsidRDefault="005F0DCD" w:rsidP="003F40D4">
            <w:pPr>
              <w:spacing w:after="120" w:line="240" w:lineRule="auto"/>
            </w:pPr>
            <w:r w:rsidRPr="005F0DCD">
              <w:t>Share observations and ideas</w:t>
            </w:r>
          </w:p>
        </w:tc>
        <w:tc>
          <w:tcPr>
            <w:tcW w:w="1050" w:type="pct"/>
            <w:gridSpan w:val="2"/>
            <w:shd w:val="clear" w:color="auto" w:fill="auto"/>
          </w:tcPr>
          <w:p w:rsidR="005F0DCD" w:rsidRDefault="005F0DCD" w:rsidP="003F40D4">
            <w:pPr>
              <w:spacing w:after="120" w:line="240" w:lineRule="auto"/>
            </w:pPr>
            <w:r>
              <w:t>Pose and respond to questions</w:t>
            </w:r>
          </w:p>
          <w:p w:rsidR="005F0DCD" w:rsidRDefault="005F0DCD" w:rsidP="003F40D4">
            <w:pPr>
              <w:spacing w:after="120" w:line="240" w:lineRule="auto"/>
            </w:pPr>
            <w:r>
              <w:t>Participate in guided investigations</w:t>
            </w:r>
          </w:p>
          <w:p w:rsidR="005F0DCD" w:rsidRDefault="005F0DCD" w:rsidP="003F40D4">
            <w:pPr>
              <w:spacing w:after="120" w:line="240" w:lineRule="auto"/>
            </w:pPr>
            <w:r>
              <w:t>Engage in, and share discussions about observations</w:t>
            </w:r>
          </w:p>
          <w:p w:rsidR="007B285B" w:rsidRDefault="005F0DCD" w:rsidP="003F40D4">
            <w:pPr>
              <w:spacing w:after="120" w:line="240" w:lineRule="auto"/>
            </w:pPr>
            <w:r>
              <w:t>Share and represent ideas and observations in a variety of ways</w:t>
            </w:r>
          </w:p>
        </w:tc>
        <w:tc>
          <w:tcPr>
            <w:tcW w:w="1050" w:type="pct"/>
            <w:shd w:val="clear" w:color="auto" w:fill="auto"/>
          </w:tcPr>
          <w:p w:rsidR="007B285B" w:rsidRDefault="007B285B" w:rsidP="003F40D4">
            <w:pPr>
              <w:spacing w:after="120" w:line="240" w:lineRule="auto"/>
            </w:pPr>
            <w:r>
              <w:t xml:space="preserve">Pose and respond to questions, and make predictions about familiar objects and events </w:t>
            </w:r>
          </w:p>
          <w:p w:rsidR="007B285B" w:rsidRDefault="007B285B" w:rsidP="003F40D4">
            <w:pPr>
              <w:spacing w:after="120" w:line="240" w:lineRule="auto"/>
            </w:pPr>
            <w:r>
              <w:t xml:space="preserve">Participate in guided investigations to explore and answer questions </w:t>
            </w:r>
          </w:p>
          <w:p w:rsidR="007B285B" w:rsidRDefault="007B285B" w:rsidP="003F40D4">
            <w:pPr>
              <w:spacing w:after="120" w:line="240" w:lineRule="auto"/>
            </w:pPr>
            <w:r>
              <w:t>Use informal measurements to collect and record observations, using digital technologies as appropriate</w:t>
            </w:r>
          </w:p>
          <w:p w:rsidR="007B285B" w:rsidRDefault="007B285B" w:rsidP="003F40D4">
            <w:pPr>
              <w:spacing w:after="120" w:line="240" w:lineRule="auto"/>
            </w:pPr>
            <w:r>
              <w:t>Use a range of methods to sort information, including drawings and provided tables through discussion, compare observations with predictions</w:t>
            </w:r>
          </w:p>
          <w:p w:rsidR="007B285B" w:rsidRDefault="007B285B" w:rsidP="003F40D4">
            <w:pPr>
              <w:spacing w:after="120" w:line="240" w:lineRule="auto"/>
            </w:pPr>
            <w:r>
              <w:t>Compare observations with those of others</w:t>
            </w:r>
          </w:p>
          <w:p w:rsidR="007B285B" w:rsidRDefault="007B285B" w:rsidP="003F40D4">
            <w:pPr>
              <w:spacing w:after="120" w:line="240" w:lineRule="auto"/>
            </w:pPr>
            <w:r>
              <w:t>Represent and communicate observations and ideas in a variety of ways</w:t>
            </w:r>
          </w:p>
        </w:tc>
      </w:tr>
      <w:tr w:rsidR="003F40D4" w:rsidTr="003F40D4">
        <w:trPr>
          <w:trHeight w:val="986"/>
        </w:trPr>
        <w:tc>
          <w:tcPr>
            <w:tcW w:w="21825" w:type="dxa"/>
            <w:gridSpan w:val="7"/>
            <w:shd w:val="clear" w:color="auto" w:fill="F89520"/>
            <w:vAlign w:val="center"/>
          </w:tcPr>
          <w:p w:rsidR="003F40D4" w:rsidRPr="00880227" w:rsidRDefault="003F40D4" w:rsidP="003F40D4">
            <w:pPr>
              <w:spacing w:after="120" w:line="240" w:lineRule="auto"/>
              <w:jc w:val="center"/>
              <w:rPr>
                <w:rFonts w:cstheme="minorHAnsi"/>
                <w:b/>
              </w:rPr>
            </w:pPr>
            <w:r w:rsidRPr="00880227">
              <w:rPr>
                <w:b/>
              </w:rPr>
              <w:sym w:font="Wingdings" w:char="F0DF"/>
            </w:r>
            <w:r w:rsidRPr="00880227">
              <w:rPr>
                <w:b/>
              </w:rPr>
              <w:t>PROVOCATIONS FOR COMMON UNDERSTANDINGS ACROSS YEAR GROUPS FOR TEACHING</w:t>
            </w:r>
            <w:r w:rsidRPr="00880227">
              <w:rPr>
                <w:rFonts w:cstheme="minorHAnsi"/>
                <w:b/>
              </w:rPr>
              <w:t>→</w:t>
            </w:r>
          </w:p>
          <w:p w:rsidR="003F40D4" w:rsidRPr="003F40D4" w:rsidRDefault="003F40D4" w:rsidP="003F40D4">
            <w:pPr>
              <w:spacing w:after="120" w:line="240" w:lineRule="auto"/>
              <w:jc w:val="center"/>
              <w:rPr>
                <w:b/>
                <w:i/>
                <w:iCs/>
              </w:rPr>
            </w:pPr>
            <w:r w:rsidRPr="003F40D4">
              <w:rPr>
                <w:rFonts w:cstheme="minorHAnsi"/>
                <w:b/>
                <w:i/>
                <w:iCs/>
              </w:rPr>
              <w:t>Some suggested provocations for common understandings that could be applied across year groups for teaching</w:t>
            </w:r>
          </w:p>
        </w:tc>
      </w:tr>
      <w:tr w:rsidR="003F40D4" w:rsidTr="003F40D4">
        <w:trPr>
          <w:trHeight w:val="1826"/>
        </w:trPr>
        <w:tc>
          <w:tcPr>
            <w:tcW w:w="21825" w:type="dxa"/>
            <w:gridSpan w:val="7"/>
            <w:shd w:val="clear" w:color="auto" w:fill="auto"/>
          </w:tcPr>
          <w:p w:rsidR="003F40D4" w:rsidRDefault="003F40D4" w:rsidP="003F40D4">
            <w:pPr>
              <w:spacing w:after="120" w:line="240" w:lineRule="auto"/>
            </w:pPr>
            <w:r>
              <w:t>Possible provocations:</w:t>
            </w:r>
          </w:p>
          <w:p w:rsidR="003F40D4" w:rsidRDefault="003F40D4" w:rsidP="003F40D4">
            <w:pPr>
              <w:pStyle w:val="ListParagraph"/>
              <w:numPr>
                <w:ilvl w:val="0"/>
                <w:numId w:val="4"/>
              </w:numPr>
              <w:spacing w:after="120" w:line="240" w:lineRule="auto"/>
            </w:pPr>
            <w:r>
              <w:t>Set up a garden shop in the classroom</w:t>
            </w:r>
          </w:p>
          <w:p w:rsidR="003F40D4" w:rsidRDefault="003F40D4" w:rsidP="003F40D4">
            <w:pPr>
              <w:pStyle w:val="ListParagraph"/>
              <w:numPr>
                <w:ilvl w:val="0"/>
                <w:numId w:val="4"/>
              </w:numPr>
              <w:spacing w:after="120" w:line="240" w:lineRule="auto"/>
            </w:pPr>
            <w:r>
              <w:t>Plant a garden (or tend to the existing garden)</w:t>
            </w:r>
          </w:p>
          <w:p w:rsidR="003F40D4" w:rsidRDefault="003F40D4" w:rsidP="003F40D4">
            <w:pPr>
              <w:pStyle w:val="ListParagraph"/>
              <w:numPr>
                <w:ilvl w:val="0"/>
                <w:numId w:val="4"/>
              </w:numPr>
              <w:spacing w:after="120" w:line="240" w:lineRule="auto"/>
            </w:pPr>
            <w:r>
              <w:t>Create a science lab to explore and experiment with the focus concepts e.g. provide 3 plants and water them differently. Supply clipboards and pencils for children to make observations and write about what they see happening over a course of time</w:t>
            </w:r>
          </w:p>
          <w:p w:rsidR="003F40D4" w:rsidRDefault="003F40D4" w:rsidP="003F40D4">
            <w:pPr>
              <w:pStyle w:val="ListParagraph"/>
              <w:numPr>
                <w:ilvl w:val="0"/>
                <w:numId w:val="4"/>
              </w:numPr>
              <w:spacing w:after="120" w:line="240" w:lineRule="auto"/>
            </w:pPr>
            <w:r>
              <w:t>Play a game that changes the variables of a project and observe the changes e.g. playdough or bread (sunlight, shade, moist or dry area)</w:t>
            </w:r>
          </w:p>
          <w:p w:rsidR="003F40D4" w:rsidRDefault="003F40D4" w:rsidP="003F40D4">
            <w:pPr>
              <w:pStyle w:val="ListParagraph"/>
              <w:numPr>
                <w:ilvl w:val="0"/>
                <w:numId w:val="4"/>
              </w:numPr>
              <w:spacing w:after="120" w:line="240" w:lineRule="auto"/>
            </w:pPr>
            <w:r>
              <w:t>Supply books for the children to read and make a ‘wonder’. Record the questions, research the answers</w:t>
            </w:r>
          </w:p>
          <w:p w:rsidR="003F40D4" w:rsidRDefault="003F40D4" w:rsidP="003F40D4">
            <w:pPr>
              <w:pStyle w:val="ListParagraph"/>
              <w:numPr>
                <w:ilvl w:val="0"/>
                <w:numId w:val="4"/>
              </w:numPr>
              <w:spacing w:after="120" w:line="240" w:lineRule="auto"/>
            </w:pPr>
            <w:r>
              <w:t>Pose a ‘big picture’ question about life and living things with the children and create an inquiry together</w:t>
            </w:r>
          </w:p>
          <w:p w:rsidR="003F40D4" w:rsidRDefault="003F40D4" w:rsidP="003F40D4">
            <w:pPr>
              <w:pStyle w:val="ListParagraph"/>
              <w:numPr>
                <w:ilvl w:val="0"/>
                <w:numId w:val="4"/>
              </w:numPr>
              <w:spacing w:after="120" w:line="240" w:lineRule="auto"/>
            </w:pPr>
            <w:r>
              <w:t>Create a class book about the children’s ‘wonderings’ and share the children’s thoughts with an older year group</w:t>
            </w:r>
          </w:p>
          <w:p w:rsidR="003F40D4" w:rsidRDefault="003F40D4" w:rsidP="003F40D4">
            <w:pPr>
              <w:pStyle w:val="ListParagraph"/>
              <w:numPr>
                <w:ilvl w:val="0"/>
                <w:numId w:val="4"/>
              </w:numPr>
              <w:spacing w:after="120" w:line="240" w:lineRule="auto"/>
            </w:pPr>
            <w:r>
              <w:t>Use cameras/devices to record the changes over time (allow the children to determine what they would like to observe and how they would like to measure it)</w:t>
            </w:r>
          </w:p>
          <w:p w:rsidR="003F40D4" w:rsidRPr="00880227" w:rsidRDefault="003F40D4" w:rsidP="003F40D4">
            <w:pPr>
              <w:pStyle w:val="ListParagraph"/>
              <w:numPr>
                <w:ilvl w:val="0"/>
                <w:numId w:val="4"/>
              </w:numPr>
              <w:spacing w:after="120" w:line="240" w:lineRule="auto"/>
            </w:pPr>
            <w:r>
              <w:t>Incorporate the Arts subjects in the learning, e.g. Drama (basic needs –imagine if…..), Art (mud painting/prints that change as they dry), Music (rainforest, ocean and desert music), Dance (movement that portrays changes happening), Media Arts (digital posters)</w:t>
            </w:r>
          </w:p>
        </w:tc>
      </w:tr>
      <w:tr w:rsidR="003F40D4" w:rsidTr="003F40D4">
        <w:trPr>
          <w:trHeight w:val="989"/>
        </w:trPr>
        <w:tc>
          <w:tcPr>
            <w:tcW w:w="21825" w:type="dxa"/>
            <w:gridSpan w:val="7"/>
            <w:shd w:val="clear" w:color="auto" w:fill="F89520"/>
            <w:vAlign w:val="center"/>
          </w:tcPr>
          <w:p w:rsidR="003F40D4" w:rsidRPr="00880227" w:rsidRDefault="003F40D4" w:rsidP="003F40D4">
            <w:pPr>
              <w:spacing w:before="60" w:after="60" w:line="240" w:lineRule="auto"/>
              <w:jc w:val="center"/>
              <w:rPr>
                <w:b/>
              </w:rPr>
            </w:pPr>
            <w:r w:rsidRPr="00880227">
              <w:rPr>
                <w:b/>
              </w:rPr>
              <w:t xml:space="preserve">SUGGESTED LEARNING EXPERIENCES </w:t>
            </w:r>
          </w:p>
          <w:p w:rsidR="003F40D4" w:rsidRPr="003F40D4" w:rsidRDefault="003F40D4" w:rsidP="003F40D4">
            <w:pPr>
              <w:spacing w:after="120" w:line="240" w:lineRule="auto"/>
              <w:jc w:val="center"/>
              <w:rPr>
                <w:b/>
                <w:i/>
                <w:iCs/>
              </w:rPr>
            </w:pPr>
            <w:r w:rsidRPr="003F40D4">
              <w:rPr>
                <w:b/>
                <w:i/>
                <w:iCs/>
              </w:rPr>
              <w:t>Ensure meaningful learning experiences explore the above common understandings</w:t>
            </w:r>
          </w:p>
        </w:tc>
      </w:tr>
      <w:tr w:rsidR="003F40D4" w:rsidTr="003F40D4">
        <w:trPr>
          <w:trHeight w:val="3078"/>
        </w:trPr>
        <w:tc>
          <w:tcPr>
            <w:tcW w:w="21825" w:type="dxa"/>
            <w:gridSpan w:val="7"/>
            <w:shd w:val="clear" w:color="auto" w:fill="auto"/>
          </w:tcPr>
          <w:p w:rsidR="003F40D4" w:rsidRPr="0015151A" w:rsidRDefault="003F40D4" w:rsidP="003F40D4">
            <w:pPr>
              <w:spacing w:after="120" w:line="240" w:lineRule="auto"/>
              <w:rPr>
                <w:color w:val="FFC000" w:themeColor="accent4"/>
              </w:rPr>
            </w:pPr>
          </w:p>
        </w:tc>
      </w:tr>
      <w:tr w:rsidR="003F40D4" w:rsidTr="003F40D4">
        <w:trPr>
          <w:trHeight w:val="989"/>
        </w:trPr>
        <w:tc>
          <w:tcPr>
            <w:tcW w:w="21825" w:type="dxa"/>
            <w:gridSpan w:val="7"/>
            <w:shd w:val="clear" w:color="auto" w:fill="582C71"/>
            <w:vAlign w:val="center"/>
          </w:tcPr>
          <w:p w:rsidR="003F40D4" w:rsidRPr="00880227" w:rsidRDefault="003F40D4" w:rsidP="003F40D4">
            <w:pPr>
              <w:spacing w:after="120" w:line="240" w:lineRule="auto"/>
              <w:jc w:val="center"/>
              <w:rPr>
                <w:b/>
                <w:color w:val="FFFFFF" w:themeColor="background1"/>
              </w:rPr>
            </w:pPr>
            <w:r w:rsidRPr="00880227">
              <w:rPr>
                <w:b/>
                <w:color w:val="FFFFFF" w:themeColor="background1"/>
              </w:rPr>
              <w:lastRenderedPageBreak/>
              <w:t xml:space="preserve">SUGGESTED ASSESSMENT </w:t>
            </w:r>
          </w:p>
          <w:p w:rsidR="003F40D4" w:rsidRPr="003F40D4" w:rsidRDefault="003F40D4" w:rsidP="003F40D4">
            <w:pPr>
              <w:spacing w:after="120" w:line="240" w:lineRule="auto"/>
              <w:jc w:val="center"/>
              <w:rPr>
                <w:b/>
                <w:i/>
                <w:color w:val="FFFFFF" w:themeColor="background1"/>
              </w:rPr>
            </w:pPr>
            <w:r w:rsidRPr="003F40D4">
              <w:rPr>
                <w:b/>
                <w:i/>
                <w:color w:val="FFFFFF" w:themeColor="background1"/>
              </w:rPr>
              <w:t>Consider the learning experiences and identify the points of assessment for each year level (against the year level Achievement Standard)</w:t>
            </w:r>
          </w:p>
        </w:tc>
      </w:tr>
      <w:tr w:rsidR="00C04DE2" w:rsidTr="00C04DE2">
        <w:trPr>
          <w:trHeight w:val="402"/>
        </w:trPr>
        <w:tc>
          <w:tcPr>
            <w:tcW w:w="7275" w:type="dxa"/>
            <w:shd w:val="clear" w:color="auto" w:fill="auto"/>
          </w:tcPr>
          <w:p w:rsidR="00C04DE2" w:rsidRDefault="00C04DE2" w:rsidP="00C04DE2">
            <w:pPr>
              <w:spacing w:after="120" w:line="240" w:lineRule="auto"/>
              <w:jc w:val="center"/>
              <w:rPr>
                <w:b/>
              </w:rPr>
            </w:pPr>
            <w:r>
              <w:rPr>
                <w:b/>
              </w:rPr>
              <w:t>Kindergarten</w:t>
            </w:r>
          </w:p>
        </w:tc>
        <w:tc>
          <w:tcPr>
            <w:tcW w:w="7275" w:type="dxa"/>
            <w:gridSpan w:val="4"/>
            <w:shd w:val="clear" w:color="auto" w:fill="auto"/>
          </w:tcPr>
          <w:p w:rsidR="00C04DE2" w:rsidRDefault="00C04DE2" w:rsidP="00C04DE2">
            <w:pPr>
              <w:spacing w:after="120" w:line="240" w:lineRule="auto"/>
              <w:jc w:val="center"/>
              <w:rPr>
                <w:b/>
              </w:rPr>
            </w:pPr>
            <w:r>
              <w:rPr>
                <w:b/>
              </w:rPr>
              <w:t>Pre-primary</w:t>
            </w:r>
          </w:p>
        </w:tc>
        <w:tc>
          <w:tcPr>
            <w:tcW w:w="7275" w:type="dxa"/>
            <w:gridSpan w:val="2"/>
            <w:shd w:val="clear" w:color="auto" w:fill="auto"/>
          </w:tcPr>
          <w:p w:rsidR="00C04DE2" w:rsidRDefault="00C04DE2" w:rsidP="00C04DE2">
            <w:pPr>
              <w:spacing w:after="120" w:line="240" w:lineRule="auto"/>
              <w:jc w:val="center"/>
              <w:rPr>
                <w:b/>
              </w:rPr>
            </w:pPr>
            <w:r>
              <w:rPr>
                <w:b/>
              </w:rPr>
              <w:t>YEAR 1</w:t>
            </w:r>
          </w:p>
        </w:tc>
      </w:tr>
      <w:tr w:rsidR="003F40D4" w:rsidTr="003F40D4">
        <w:trPr>
          <w:trHeight w:val="3388"/>
        </w:trPr>
        <w:tc>
          <w:tcPr>
            <w:tcW w:w="7275" w:type="dxa"/>
            <w:shd w:val="clear" w:color="auto" w:fill="auto"/>
          </w:tcPr>
          <w:p w:rsidR="003F40D4" w:rsidRDefault="003F40D4" w:rsidP="00C04DE2">
            <w:pPr>
              <w:spacing w:after="120" w:line="240" w:lineRule="auto"/>
              <w:jc w:val="center"/>
              <w:rPr>
                <w:b/>
              </w:rPr>
            </w:pPr>
          </w:p>
        </w:tc>
        <w:tc>
          <w:tcPr>
            <w:tcW w:w="7275" w:type="dxa"/>
            <w:gridSpan w:val="4"/>
            <w:shd w:val="clear" w:color="auto" w:fill="auto"/>
          </w:tcPr>
          <w:p w:rsidR="003F40D4" w:rsidRDefault="003F40D4" w:rsidP="00C04DE2">
            <w:pPr>
              <w:spacing w:after="120" w:line="240" w:lineRule="auto"/>
              <w:jc w:val="center"/>
              <w:rPr>
                <w:b/>
              </w:rPr>
            </w:pPr>
          </w:p>
        </w:tc>
        <w:tc>
          <w:tcPr>
            <w:tcW w:w="7275" w:type="dxa"/>
            <w:gridSpan w:val="2"/>
            <w:shd w:val="clear" w:color="auto" w:fill="auto"/>
          </w:tcPr>
          <w:p w:rsidR="003F40D4" w:rsidRPr="00AA7470" w:rsidRDefault="003F40D4" w:rsidP="00C04DE2">
            <w:pPr>
              <w:spacing w:after="120" w:line="240" w:lineRule="auto"/>
              <w:jc w:val="center"/>
              <w:rPr>
                <w:lang w:val="en-US"/>
              </w:rPr>
            </w:pPr>
          </w:p>
        </w:tc>
      </w:tr>
      <w:tr w:rsidR="003F40D4" w:rsidTr="003F40D4">
        <w:trPr>
          <w:trHeight w:val="989"/>
        </w:trPr>
        <w:tc>
          <w:tcPr>
            <w:tcW w:w="21825" w:type="dxa"/>
            <w:gridSpan w:val="7"/>
            <w:shd w:val="clear" w:color="auto" w:fill="582C71"/>
            <w:vAlign w:val="center"/>
          </w:tcPr>
          <w:p w:rsidR="003F40D4" w:rsidRPr="0043599A" w:rsidRDefault="003F40D4" w:rsidP="003F40D4">
            <w:pPr>
              <w:spacing w:before="60" w:after="60" w:line="240" w:lineRule="auto"/>
              <w:jc w:val="center"/>
              <w:rPr>
                <w:b/>
                <w:color w:val="FFFFFF" w:themeColor="background1"/>
              </w:rPr>
            </w:pPr>
            <w:r w:rsidRPr="0043599A">
              <w:rPr>
                <w:b/>
                <w:color w:val="FFFFFF" w:themeColor="background1"/>
              </w:rPr>
              <w:t>CONSIDERATIONS WHEN LINKING TO OTHER LEARNING AREAS</w:t>
            </w:r>
          </w:p>
          <w:p w:rsidR="003F40D4" w:rsidRPr="00880227" w:rsidRDefault="003F40D4" w:rsidP="003F40D4">
            <w:pPr>
              <w:spacing w:after="120" w:line="240" w:lineRule="auto"/>
              <w:jc w:val="center"/>
              <w:rPr>
                <w:bCs/>
                <w:color w:val="FFFFFF" w:themeColor="background1"/>
              </w:rPr>
            </w:pPr>
            <w:r>
              <w:rPr>
                <w:b/>
                <w:i/>
                <w:iCs/>
                <w:color w:val="FFFFFF" w:themeColor="background1"/>
              </w:rPr>
              <w:t xml:space="preserve">What authentic connections can be made across learning areas to develop connected programs?  </w:t>
            </w:r>
          </w:p>
        </w:tc>
      </w:tr>
      <w:tr w:rsidR="003F40D4" w:rsidTr="003F40D4">
        <w:trPr>
          <w:trHeight w:val="3094"/>
        </w:trPr>
        <w:tc>
          <w:tcPr>
            <w:tcW w:w="21825" w:type="dxa"/>
            <w:gridSpan w:val="7"/>
            <w:shd w:val="clear" w:color="auto" w:fill="auto"/>
          </w:tcPr>
          <w:p w:rsidR="003F40D4" w:rsidRDefault="003F40D4" w:rsidP="003F40D4">
            <w:pPr>
              <w:spacing w:after="120" w:line="240" w:lineRule="auto"/>
              <w:rPr>
                <w:b/>
              </w:rPr>
            </w:pPr>
          </w:p>
        </w:tc>
      </w:tr>
    </w:tbl>
    <w:p w:rsidR="00F35766" w:rsidRDefault="00F35766" w:rsidP="003F40D4">
      <w:pPr>
        <w:spacing w:after="120" w:line="240" w:lineRule="auto"/>
      </w:pPr>
    </w:p>
    <w:sectPr w:rsidR="00F35766" w:rsidSect="00F35766">
      <w:footerReference w:type="default" r:id="rId13"/>
      <w:headerReference w:type="first" r:id="rId14"/>
      <w:footerReference w:type="first" r:id="rId15"/>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5B" w:rsidRDefault="007B285B" w:rsidP="007B285B">
      <w:pPr>
        <w:spacing w:after="0" w:line="240" w:lineRule="auto"/>
      </w:pPr>
      <w:r>
        <w:separator/>
      </w:r>
    </w:p>
  </w:endnote>
  <w:endnote w:type="continuationSeparator" w:id="0">
    <w:p w:rsidR="007B285B" w:rsidRDefault="007B285B" w:rsidP="007B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66" w:rsidRDefault="00F35766" w:rsidP="00F35766">
    <w:pPr>
      <w:pStyle w:val="Footer"/>
      <w:tabs>
        <w:tab w:val="clear" w:pos="4513"/>
        <w:tab w:val="clear" w:pos="9026"/>
        <w:tab w:val="right" w:pos="20838"/>
      </w:tabs>
    </w:pPr>
    <w:r>
      <w:t>Multi Age Group Classrooms | Science | Years K-1 | Sample Plan</w:t>
    </w:r>
    <w:r>
      <w:tab/>
      <w:t xml:space="preserve">Page </w:t>
    </w:r>
    <w:r>
      <w:fldChar w:fldCharType="begin"/>
    </w:r>
    <w:r>
      <w:instrText xml:space="preserve"> PAGE   \* MERGEFORMAT </w:instrText>
    </w:r>
    <w:r>
      <w:fldChar w:fldCharType="separate"/>
    </w:r>
    <w:r w:rsidR="000D416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5B" w:rsidRPr="000D416A" w:rsidRDefault="00F35766">
    <w:pPr>
      <w:pStyle w:val="Footer"/>
    </w:pPr>
    <w:r w:rsidRPr="000D416A">
      <w:t>2017/68680</w:t>
    </w:r>
  </w:p>
  <w:p w:rsidR="00F35766" w:rsidRDefault="00F35766" w:rsidP="00F35766">
    <w:pPr>
      <w:pStyle w:val="Footer"/>
      <w:tabs>
        <w:tab w:val="clear" w:pos="4513"/>
        <w:tab w:val="clear" w:pos="9026"/>
        <w:tab w:val="right" w:pos="20838"/>
      </w:tabs>
    </w:pPr>
    <w:r>
      <w:t>Multi Age Group Classrooms | Science | Years K-1 | Sample Plan</w:t>
    </w:r>
    <w:r>
      <w:tab/>
      <w:t xml:space="preserve">Page </w:t>
    </w:r>
    <w:r>
      <w:fldChar w:fldCharType="begin"/>
    </w:r>
    <w:r>
      <w:instrText xml:space="preserve"> PAGE   \* MERGEFORMAT </w:instrText>
    </w:r>
    <w:r>
      <w:fldChar w:fldCharType="separate"/>
    </w:r>
    <w:r w:rsidR="000D41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5B" w:rsidRDefault="007B285B" w:rsidP="007B285B">
      <w:pPr>
        <w:spacing w:after="0" w:line="240" w:lineRule="auto"/>
      </w:pPr>
      <w:r>
        <w:separator/>
      </w:r>
    </w:p>
  </w:footnote>
  <w:footnote w:type="continuationSeparator" w:id="0">
    <w:p w:rsidR="007B285B" w:rsidRDefault="007B285B" w:rsidP="007B2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5B" w:rsidRDefault="00F35766">
    <w:pPr>
      <w:pStyle w:val="Header"/>
    </w:pPr>
    <w:r>
      <w:rPr>
        <w:noProof/>
        <w:lang w:eastAsia="zh-TW"/>
      </w:rPr>
      <w:drawing>
        <wp:inline distT="0" distB="0" distL="0" distR="0" wp14:anchorId="7D0F1CE5" wp14:editId="47D47BAC">
          <wp:extent cx="3277210" cy="5085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07" cy="5115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8CD"/>
    <w:multiLevelType w:val="multilevel"/>
    <w:tmpl w:val="303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C6DA6"/>
    <w:multiLevelType w:val="multilevel"/>
    <w:tmpl w:val="9A46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035D1"/>
    <w:multiLevelType w:val="multilevel"/>
    <w:tmpl w:val="835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712A7C"/>
    <w:multiLevelType w:val="hybridMultilevel"/>
    <w:tmpl w:val="465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5B"/>
    <w:rsid w:val="000D416A"/>
    <w:rsid w:val="001544C7"/>
    <w:rsid w:val="003C2E86"/>
    <w:rsid w:val="003F40D4"/>
    <w:rsid w:val="00441DB6"/>
    <w:rsid w:val="005F0DCD"/>
    <w:rsid w:val="007B285B"/>
    <w:rsid w:val="00880227"/>
    <w:rsid w:val="00A347D8"/>
    <w:rsid w:val="00C04DE2"/>
    <w:rsid w:val="00E976CD"/>
    <w:rsid w:val="00F357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F47527-818F-46EE-864E-F359594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5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8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85B"/>
    <w:rPr>
      <w:rFonts w:eastAsiaTheme="minorHAnsi"/>
      <w:lang w:eastAsia="en-US"/>
    </w:rPr>
  </w:style>
  <w:style w:type="paragraph" w:styleId="Footer">
    <w:name w:val="footer"/>
    <w:basedOn w:val="Normal"/>
    <w:link w:val="FooterChar"/>
    <w:uiPriority w:val="99"/>
    <w:unhideWhenUsed/>
    <w:rsid w:val="007B2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5B"/>
    <w:rPr>
      <w:rFonts w:eastAsiaTheme="minorHAnsi"/>
      <w:lang w:eastAsia="en-US"/>
    </w:rPr>
  </w:style>
  <w:style w:type="paragraph" w:styleId="ListParagraph">
    <w:name w:val="List Paragraph"/>
    <w:basedOn w:val="Normal"/>
    <w:uiPriority w:val="34"/>
    <w:qFormat/>
    <w:rsid w:val="007B285B"/>
    <w:pPr>
      <w:ind w:left="720"/>
      <w:contextualSpacing/>
    </w:pPr>
  </w:style>
  <w:style w:type="character" w:styleId="Hyperlink">
    <w:name w:val="Hyperlink"/>
    <w:basedOn w:val="DefaultParagraphFont"/>
    <w:uiPriority w:val="99"/>
    <w:unhideWhenUsed/>
    <w:rsid w:val="007B285B"/>
    <w:rPr>
      <w:color w:val="215986"/>
      <w:u w:val="single"/>
    </w:rPr>
  </w:style>
  <w:style w:type="paragraph" w:styleId="BalloonText">
    <w:name w:val="Balloon Text"/>
    <w:basedOn w:val="Normal"/>
    <w:link w:val="BalloonTextChar"/>
    <w:uiPriority w:val="99"/>
    <w:semiHidden/>
    <w:unhideWhenUsed/>
    <w:rsid w:val="00C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DE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science-v8/overview/glossary/environ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10outline.scsa.wa.edu.au/home/teaching/curriculum-browser/science-v8/overview/glossary/familiar" TargetMode="External"/><Relationship Id="rId12" Type="http://schemas.openxmlformats.org/officeDocument/2006/relationships/hyperlink" Target="https://k10outline.scsa.wa.edu.au/home/teaching/curriculum-browser/science-v8/overview/glossary/environ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10outline.scsa.wa.edu.au/home/teaching/curriculum-browser/science-v8/overview/glossary/environ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10outline.scsa.wa.edu.au/home/teaching/curriculum-browser/science-v8/overview/glossary/familiar" TargetMode="External"/><Relationship Id="rId4" Type="http://schemas.openxmlformats.org/officeDocument/2006/relationships/webSettings" Target="webSettings.xml"/><Relationship Id="rId9" Type="http://schemas.openxmlformats.org/officeDocument/2006/relationships/hyperlink" Target="https://k10outline.scsa.wa.edu.au/home/teaching/curriculum-browser/science-v8/overview/glossary/reflect-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Nicole Bradley</cp:lastModifiedBy>
  <cp:revision>10</cp:revision>
  <cp:lastPrinted>2018-02-13T02:13:00Z</cp:lastPrinted>
  <dcterms:created xsi:type="dcterms:W3CDTF">2017-12-04T05:21:00Z</dcterms:created>
  <dcterms:modified xsi:type="dcterms:W3CDTF">2018-02-13T02:13:00Z</dcterms:modified>
</cp:coreProperties>
</file>