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A6E1" w14:textId="77777777" w:rsidR="00D762E2" w:rsidRPr="00362FE4" w:rsidRDefault="00D762E2" w:rsidP="00216197">
      <w:pPr>
        <w:pStyle w:val="SCSATitle1"/>
      </w:pPr>
      <w:r w:rsidRPr="00362FE4">
        <w:t xml:space="preserve">Western Australian </w:t>
      </w:r>
      <w:r w:rsidRPr="00216197">
        <w:t>Curriculum</w:t>
      </w:r>
    </w:p>
    <w:p w14:paraId="160CCE32" w14:textId="77777777" w:rsidR="00D762E2" w:rsidRPr="00D762E2" w:rsidRDefault="00D762E2" w:rsidP="00216197">
      <w:pPr>
        <w:pStyle w:val="SCSATitle2"/>
        <w:keepNext w:val="0"/>
        <w:keepLines w:val="0"/>
        <w:ind w:right="96"/>
      </w:pPr>
      <w:r w:rsidRPr="00216197">
        <w:t>Mathematics</w:t>
      </w:r>
    </w:p>
    <w:p w14:paraId="028023CD" w14:textId="417C5F61" w:rsidR="00D762E2" w:rsidRDefault="00D762E2" w:rsidP="00216197">
      <w:pPr>
        <w:pStyle w:val="SCSATitle3"/>
        <w:rPr>
          <w:lang w:eastAsia="en-AU"/>
        </w:rPr>
      </w:pPr>
      <w:bookmarkStart w:id="0" w:name="_Hlk183514562"/>
      <w:r>
        <w:rPr>
          <w:lang w:eastAsia="en-AU"/>
        </w:rPr>
        <w:t xml:space="preserve">Year </w:t>
      </w:r>
      <w:r w:rsidRPr="00216197">
        <w:t>level</w:t>
      </w:r>
      <w:r>
        <w:rPr>
          <w:lang w:eastAsia="en-AU"/>
        </w:rPr>
        <w:t xml:space="preserve"> descriptions</w:t>
      </w:r>
      <w:bookmarkEnd w:id="0"/>
      <w:r w:rsidR="004868CA">
        <w:rPr>
          <w:lang w:eastAsia="en-AU"/>
        </w:rPr>
        <w:t xml:space="preserve"> </w:t>
      </w:r>
      <w:bookmarkStart w:id="1" w:name="_Hlk184894311"/>
      <w:r w:rsidR="004868CA">
        <w:rPr>
          <w:rFonts w:eastAsia="Arial Unicode MS" w:cstheme="minorHAnsi"/>
          <w:lang w:val="en-US"/>
        </w:rPr>
        <w:t>|</w:t>
      </w:r>
      <w:bookmarkEnd w:id="1"/>
      <w:r w:rsidR="004868CA">
        <w:rPr>
          <w:rFonts w:eastAsia="Arial Unicode MS" w:cstheme="minorHAnsi"/>
          <w:lang w:val="en-US"/>
        </w:rPr>
        <w:t xml:space="preserve"> </w:t>
      </w:r>
      <w:r w:rsidRPr="00300C08">
        <w:rPr>
          <w:lang w:eastAsia="en-AU"/>
        </w:rPr>
        <w:t>Pre-primary–Year 10</w:t>
      </w:r>
      <w:r w:rsidR="00692E0A">
        <w:rPr>
          <w:lang w:eastAsia="en-AU"/>
        </w:rPr>
        <w:br/>
      </w:r>
      <w:r w:rsidR="004868CA">
        <w:rPr>
          <w:lang w:eastAsia="en-AU"/>
        </w:rPr>
        <w:t>For familiarisation in 2025</w:t>
      </w:r>
    </w:p>
    <w:p w14:paraId="061B4D06" w14:textId="77777777" w:rsidR="00D762E2" w:rsidRDefault="00D762E2" w:rsidP="00AC2695">
      <w:pPr>
        <w:rPr>
          <w:bdr w:val="nil"/>
          <w:lang w:eastAsia="en-AU" w:bidi="ar-SA"/>
        </w:rPr>
      </w:pPr>
      <w:r>
        <w:rPr>
          <w:lang w:eastAsia="en-AU"/>
        </w:rPr>
        <w:br w:type="page"/>
      </w:r>
    </w:p>
    <w:p w14:paraId="09A10217" w14:textId="77777777" w:rsidR="00D762E2" w:rsidRPr="00D762E2" w:rsidRDefault="00D762E2" w:rsidP="00D762E2">
      <w:pPr>
        <w:rPr>
          <w:b/>
          <w:bCs/>
        </w:rPr>
      </w:pPr>
      <w:r w:rsidRPr="00D762E2">
        <w:rPr>
          <w:b/>
          <w:bCs/>
        </w:rPr>
        <w:lastRenderedPageBreak/>
        <w:t>Acknowledgement of Country</w:t>
      </w:r>
    </w:p>
    <w:p w14:paraId="00D9E874" w14:textId="77777777" w:rsidR="00D762E2" w:rsidRDefault="00D762E2" w:rsidP="00384F1C">
      <w:pPr>
        <w:spacing w:after="648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8515D7" w14:textId="77777777" w:rsidR="00384F1C" w:rsidRPr="00B61BA9" w:rsidRDefault="00384F1C" w:rsidP="00384F1C">
      <w:pPr>
        <w:jc w:val="both"/>
        <w:rPr>
          <w:b/>
          <w:sz w:val="20"/>
          <w:szCs w:val="20"/>
        </w:rPr>
      </w:pPr>
      <w:bookmarkStart w:id="2" w:name="_Hlk185510262"/>
      <w:r w:rsidRPr="00B61BA9">
        <w:rPr>
          <w:b/>
          <w:sz w:val="20"/>
          <w:szCs w:val="20"/>
        </w:rPr>
        <w:t>Copyright</w:t>
      </w:r>
    </w:p>
    <w:p w14:paraId="43A39D37" w14:textId="1CCA27C5" w:rsidR="00384F1C" w:rsidRPr="00B61BA9" w:rsidRDefault="00384F1C" w:rsidP="00384F1C">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76D32516" w14:textId="77777777" w:rsidR="00384F1C" w:rsidRPr="00B61BA9" w:rsidRDefault="00384F1C" w:rsidP="00384F1C">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D42C297" w14:textId="77777777" w:rsidR="00384F1C" w:rsidRPr="00B61BA9" w:rsidRDefault="00384F1C" w:rsidP="00384F1C">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52FEF9A" w14:textId="77777777" w:rsidR="00384F1C" w:rsidRDefault="00384F1C" w:rsidP="00384F1C">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7"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B07AB21" w14:textId="77777777" w:rsidR="00384F1C" w:rsidRPr="00B61BA9" w:rsidRDefault="00384F1C" w:rsidP="00384F1C">
      <w:pPr>
        <w:jc w:val="both"/>
        <w:rPr>
          <w:rFonts w:cstheme="minorHAnsi"/>
          <w:b/>
          <w:sz w:val="20"/>
          <w:szCs w:val="20"/>
          <w:lang w:val="en-GB"/>
        </w:rPr>
      </w:pPr>
      <w:r w:rsidRPr="00B61BA9">
        <w:rPr>
          <w:rFonts w:cstheme="minorHAnsi"/>
          <w:b/>
          <w:sz w:val="20"/>
          <w:szCs w:val="20"/>
          <w:lang w:val="en-GB"/>
        </w:rPr>
        <w:t>Disclaimer</w:t>
      </w:r>
    </w:p>
    <w:p w14:paraId="3EDC5C5C" w14:textId="470CB25D" w:rsidR="00D762E2" w:rsidRDefault="00384F1C" w:rsidP="00D762E2">
      <w:pPr>
        <w:rPr>
          <w:sz w:val="20"/>
          <w:szCs w:val="20"/>
        </w:rPr>
        <w:sectPr w:rsidR="00D762E2" w:rsidSect="00D762E2">
          <w:footerReference w:type="even" r:id="rId8"/>
          <w:footerReference w:type="default" r:id="rId9"/>
          <w:headerReference w:type="first" r:id="rId10"/>
          <w:pgSz w:w="11906" w:h="16838" w:code="9"/>
          <w:pgMar w:top="1644" w:right="1418" w:bottom="1276" w:left="1418" w:header="680" w:footer="567"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bookmarkEnd w:id="2"/>
      <w:r w:rsidRPr="00B61BA9">
        <w:rPr>
          <w:sz w:val="20"/>
          <w:szCs w:val="20"/>
        </w:rPr>
        <w:t>use.</w:t>
      </w:r>
    </w:p>
    <w:p w14:paraId="18188907" w14:textId="004D8E6D" w:rsidR="007A14D0" w:rsidRDefault="007A14D0" w:rsidP="007A14D0">
      <w:pPr>
        <w:pStyle w:val="SCSATOCHeading"/>
        <w:rPr>
          <w:rFonts w:ascii="Calibri" w:eastAsia="Yu Mincho" w:hAnsi="Calibri"/>
        </w:rPr>
      </w:pPr>
      <w:bookmarkStart w:id="3" w:name="_Toc135300029"/>
      <w:bookmarkStart w:id="4" w:name="_Toc138873606"/>
      <w:bookmarkStart w:id="5" w:name="_Toc166150788"/>
      <w:bookmarkStart w:id="6" w:name="_Toc183186470"/>
      <w:bookmarkStart w:id="7" w:name="_Toc135138280"/>
      <w:bookmarkStart w:id="8" w:name="_Hlk183515355"/>
      <w:r>
        <w:lastRenderedPageBreak/>
        <w:t>Contents</w:t>
      </w:r>
    </w:p>
    <w:p w14:paraId="29870E50" w14:textId="6B820868" w:rsidR="004868CA" w:rsidRDefault="007A14D0">
      <w:pPr>
        <w:pStyle w:val="TOC1"/>
        <w:tabs>
          <w:tab w:val="right" w:leader="dot" w:pos="9060"/>
        </w:tabs>
        <w:rPr>
          <w:rFonts w:eastAsiaTheme="minorEastAsia"/>
          <w:noProof/>
          <w:sz w:val="24"/>
          <w:szCs w:val="24"/>
          <w:lang w:eastAsia="en-AU"/>
        </w:rPr>
      </w:pPr>
      <w:r>
        <w:rPr>
          <w:rFonts w:ascii="Calibri" w:eastAsia="Yu Mincho" w:hAnsi="Calibri" w:cs="Times New Roman"/>
          <w:b/>
          <w:color w:val="F26A21"/>
          <w:kern w:val="0"/>
          <w:sz w:val="32"/>
          <w:szCs w:val="24"/>
          <w:bdr w:val="nil"/>
          <w14:ligatures w14:val="none"/>
        </w:rPr>
        <w:fldChar w:fldCharType="begin"/>
      </w:r>
      <w:r>
        <w:rPr>
          <w:rFonts w:ascii="Calibri" w:eastAsia="Yu Mincho" w:hAnsi="Calibri" w:cs="Times New Roman"/>
          <w:b/>
          <w:color w:val="F26A21"/>
          <w:kern w:val="0"/>
          <w:sz w:val="32"/>
          <w:szCs w:val="24"/>
          <w:bdr w:val="nil"/>
          <w14:ligatures w14:val="none"/>
        </w:rPr>
        <w:instrText xml:space="preserve"> TOC \h \z \t "SCSA Heading 1,1" </w:instrText>
      </w:r>
      <w:r>
        <w:rPr>
          <w:rFonts w:ascii="Calibri" w:eastAsia="Yu Mincho" w:hAnsi="Calibri" w:cs="Times New Roman"/>
          <w:b/>
          <w:color w:val="F26A21"/>
          <w:kern w:val="0"/>
          <w:sz w:val="32"/>
          <w:szCs w:val="24"/>
          <w:bdr w:val="nil"/>
          <w14:ligatures w14:val="none"/>
        </w:rPr>
        <w:fldChar w:fldCharType="separate"/>
      </w:r>
      <w:hyperlink w:anchor="_Toc184895263" w:history="1">
        <w:r w:rsidR="004868CA" w:rsidRPr="00647B8F">
          <w:rPr>
            <w:rStyle w:val="Hyperlink"/>
            <w:noProof/>
          </w:rPr>
          <w:t>Overview</w:t>
        </w:r>
        <w:r w:rsidR="004868CA">
          <w:rPr>
            <w:noProof/>
            <w:webHidden/>
          </w:rPr>
          <w:tab/>
        </w:r>
        <w:r w:rsidR="004868CA">
          <w:rPr>
            <w:noProof/>
            <w:webHidden/>
          </w:rPr>
          <w:fldChar w:fldCharType="begin"/>
        </w:r>
        <w:r w:rsidR="004868CA">
          <w:rPr>
            <w:noProof/>
            <w:webHidden/>
          </w:rPr>
          <w:instrText xml:space="preserve"> PAGEREF _Toc184895263 \h </w:instrText>
        </w:r>
        <w:r w:rsidR="004868CA">
          <w:rPr>
            <w:noProof/>
            <w:webHidden/>
          </w:rPr>
        </w:r>
        <w:r w:rsidR="004868CA">
          <w:rPr>
            <w:noProof/>
            <w:webHidden/>
          </w:rPr>
          <w:fldChar w:fldCharType="separate"/>
        </w:r>
        <w:r w:rsidR="005F3550">
          <w:rPr>
            <w:noProof/>
            <w:webHidden/>
          </w:rPr>
          <w:t>1</w:t>
        </w:r>
        <w:r w:rsidR="004868CA">
          <w:rPr>
            <w:noProof/>
            <w:webHidden/>
          </w:rPr>
          <w:fldChar w:fldCharType="end"/>
        </w:r>
      </w:hyperlink>
    </w:p>
    <w:p w14:paraId="3D3CCE55" w14:textId="1264FD42" w:rsidR="004868CA" w:rsidRDefault="004868CA">
      <w:pPr>
        <w:pStyle w:val="TOC1"/>
        <w:tabs>
          <w:tab w:val="right" w:leader="dot" w:pos="9060"/>
        </w:tabs>
        <w:rPr>
          <w:rFonts w:eastAsiaTheme="minorEastAsia"/>
          <w:noProof/>
          <w:sz w:val="24"/>
          <w:szCs w:val="24"/>
          <w:lang w:eastAsia="en-AU"/>
        </w:rPr>
      </w:pPr>
      <w:hyperlink w:anchor="_Toc184895264" w:history="1">
        <w:r w:rsidRPr="00647B8F">
          <w:rPr>
            <w:rStyle w:val="Hyperlink"/>
            <w:noProof/>
          </w:rPr>
          <w:t>Pre-primary</w:t>
        </w:r>
        <w:r>
          <w:rPr>
            <w:noProof/>
            <w:webHidden/>
          </w:rPr>
          <w:tab/>
        </w:r>
        <w:r>
          <w:rPr>
            <w:noProof/>
            <w:webHidden/>
          </w:rPr>
          <w:fldChar w:fldCharType="begin"/>
        </w:r>
        <w:r>
          <w:rPr>
            <w:noProof/>
            <w:webHidden/>
          </w:rPr>
          <w:instrText xml:space="preserve"> PAGEREF _Toc184895264 \h </w:instrText>
        </w:r>
        <w:r>
          <w:rPr>
            <w:noProof/>
            <w:webHidden/>
          </w:rPr>
        </w:r>
        <w:r>
          <w:rPr>
            <w:noProof/>
            <w:webHidden/>
          </w:rPr>
          <w:fldChar w:fldCharType="separate"/>
        </w:r>
        <w:r w:rsidR="005F3550">
          <w:rPr>
            <w:noProof/>
            <w:webHidden/>
          </w:rPr>
          <w:t>2</w:t>
        </w:r>
        <w:r>
          <w:rPr>
            <w:noProof/>
            <w:webHidden/>
          </w:rPr>
          <w:fldChar w:fldCharType="end"/>
        </w:r>
      </w:hyperlink>
    </w:p>
    <w:p w14:paraId="60C4605A" w14:textId="113AE385" w:rsidR="004868CA" w:rsidRDefault="004868CA">
      <w:pPr>
        <w:pStyle w:val="TOC1"/>
        <w:tabs>
          <w:tab w:val="right" w:leader="dot" w:pos="9060"/>
        </w:tabs>
        <w:rPr>
          <w:rFonts w:eastAsiaTheme="minorEastAsia"/>
          <w:noProof/>
          <w:sz w:val="24"/>
          <w:szCs w:val="24"/>
          <w:lang w:eastAsia="en-AU"/>
        </w:rPr>
      </w:pPr>
      <w:hyperlink w:anchor="_Toc184895265" w:history="1">
        <w:r w:rsidRPr="00647B8F">
          <w:rPr>
            <w:rStyle w:val="Hyperlink"/>
            <w:noProof/>
          </w:rPr>
          <w:t>Year 1</w:t>
        </w:r>
        <w:r>
          <w:rPr>
            <w:noProof/>
            <w:webHidden/>
          </w:rPr>
          <w:tab/>
        </w:r>
        <w:r>
          <w:rPr>
            <w:noProof/>
            <w:webHidden/>
          </w:rPr>
          <w:fldChar w:fldCharType="begin"/>
        </w:r>
        <w:r>
          <w:rPr>
            <w:noProof/>
            <w:webHidden/>
          </w:rPr>
          <w:instrText xml:space="preserve"> PAGEREF _Toc184895265 \h </w:instrText>
        </w:r>
        <w:r>
          <w:rPr>
            <w:noProof/>
            <w:webHidden/>
          </w:rPr>
        </w:r>
        <w:r>
          <w:rPr>
            <w:noProof/>
            <w:webHidden/>
          </w:rPr>
          <w:fldChar w:fldCharType="separate"/>
        </w:r>
        <w:r w:rsidR="005F3550">
          <w:rPr>
            <w:noProof/>
            <w:webHidden/>
          </w:rPr>
          <w:t>3</w:t>
        </w:r>
        <w:r>
          <w:rPr>
            <w:noProof/>
            <w:webHidden/>
          </w:rPr>
          <w:fldChar w:fldCharType="end"/>
        </w:r>
      </w:hyperlink>
    </w:p>
    <w:p w14:paraId="68B155DA" w14:textId="2E59D76A" w:rsidR="004868CA" w:rsidRDefault="004868CA">
      <w:pPr>
        <w:pStyle w:val="TOC1"/>
        <w:tabs>
          <w:tab w:val="right" w:leader="dot" w:pos="9060"/>
        </w:tabs>
        <w:rPr>
          <w:rFonts w:eastAsiaTheme="minorEastAsia"/>
          <w:noProof/>
          <w:sz w:val="24"/>
          <w:szCs w:val="24"/>
          <w:lang w:eastAsia="en-AU"/>
        </w:rPr>
      </w:pPr>
      <w:hyperlink w:anchor="_Toc184895266" w:history="1">
        <w:r w:rsidRPr="00647B8F">
          <w:rPr>
            <w:rStyle w:val="Hyperlink"/>
            <w:noProof/>
          </w:rPr>
          <w:t>Year 2</w:t>
        </w:r>
        <w:r>
          <w:rPr>
            <w:noProof/>
            <w:webHidden/>
          </w:rPr>
          <w:tab/>
        </w:r>
        <w:r>
          <w:rPr>
            <w:noProof/>
            <w:webHidden/>
          </w:rPr>
          <w:fldChar w:fldCharType="begin"/>
        </w:r>
        <w:r>
          <w:rPr>
            <w:noProof/>
            <w:webHidden/>
          </w:rPr>
          <w:instrText xml:space="preserve"> PAGEREF _Toc184895266 \h </w:instrText>
        </w:r>
        <w:r>
          <w:rPr>
            <w:noProof/>
            <w:webHidden/>
          </w:rPr>
        </w:r>
        <w:r>
          <w:rPr>
            <w:noProof/>
            <w:webHidden/>
          </w:rPr>
          <w:fldChar w:fldCharType="separate"/>
        </w:r>
        <w:r w:rsidR="005F3550">
          <w:rPr>
            <w:noProof/>
            <w:webHidden/>
          </w:rPr>
          <w:t>4</w:t>
        </w:r>
        <w:r>
          <w:rPr>
            <w:noProof/>
            <w:webHidden/>
          </w:rPr>
          <w:fldChar w:fldCharType="end"/>
        </w:r>
      </w:hyperlink>
    </w:p>
    <w:p w14:paraId="76378161" w14:textId="5A18FE9B" w:rsidR="004868CA" w:rsidRDefault="004868CA">
      <w:pPr>
        <w:pStyle w:val="TOC1"/>
        <w:tabs>
          <w:tab w:val="right" w:leader="dot" w:pos="9060"/>
        </w:tabs>
        <w:rPr>
          <w:rFonts w:eastAsiaTheme="minorEastAsia"/>
          <w:noProof/>
          <w:sz w:val="24"/>
          <w:szCs w:val="24"/>
          <w:lang w:eastAsia="en-AU"/>
        </w:rPr>
      </w:pPr>
      <w:hyperlink w:anchor="_Toc184895267" w:history="1">
        <w:r w:rsidRPr="00647B8F">
          <w:rPr>
            <w:rStyle w:val="Hyperlink"/>
            <w:noProof/>
          </w:rPr>
          <w:t>Year 3</w:t>
        </w:r>
        <w:r>
          <w:rPr>
            <w:noProof/>
            <w:webHidden/>
          </w:rPr>
          <w:tab/>
        </w:r>
        <w:r>
          <w:rPr>
            <w:noProof/>
            <w:webHidden/>
          </w:rPr>
          <w:fldChar w:fldCharType="begin"/>
        </w:r>
        <w:r>
          <w:rPr>
            <w:noProof/>
            <w:webHidden/>
          </w:rPr>
          <w:instrText xml:space="preserve"> PAGEREF _Toc184895267 \h </w:instrText>
        </w:r>
        <w:r>
          <w:rPr>
            <w:noProof/>
            <w:webHidden/>
          </w:rPr>
        </w:r>
        <w:r>
          <w:rPr>
            <w:noProof/>
            <w:webHidden/>
          </w:rPr>
          <w:fldChar w:fldCharType="separate"/>
        </w:r>
        <w:r w:rsidR="005F3550">
          <w:rPr>
            <w:noProof/>
            <w:webHidden/>
          </w:rPr>
          <w:t>5</w:t>
        </w:r>
        <w:r>
          <w:rPr>
            <w:noProof/>
            <w:webHidden/>
          </w:rPr>
          <w:fldChar w:fldCharType="end"/>
        </w:r>
      </w:hyperlink>
    </w:p>
    <w:p w14:paraId="4A6B69BD" w14:textId="07399F3C" w:rsidR="004868CA" w:rsidRDefault="004868CA">
      <w:pPr>
        <w:pStyle w:val="TOC1"/>
        <w:tabs>
          <w:tab w:val="right" w:leader="dot" w:pos="9060"/>
        </w:tabs>
        <w:rPr>
          <w:rFonts w:eastAsiaTheme="minorEastAsia"/>
          <w:noProof/>
          <w:sz w:val="24"/>
          <w:szCs w:val="24"/>
          <w:lang w:eastAsia="en-AU"/>
        </w:rPr>
      </w:pPr>
      <w:hyperlink w:anchor="_Toc184895268" w:history="1">
        <w:r w:rsidRPr="00647B8F">
          <w:rPr>
            <w:rStyle w:val="Hyperlink"/>
            <w:noProof/>
          </w:rPr>
          <w:t>Year 4</w:t>
        </w:r>
        <w:r>
          <w:rPr>
            <w:noProof/>
            <w:webHidden/>
          </w:rPr>
          <w:tab/>
        </w:r>
        <w:r>
          <w:rPr>
            <w:noProof/>
            <w:webHidden/>
          </w:rPr>
          <w:fldChar w:fldCharType="begin"/>
        </w:r>
        <w:r>
          <w:rPr>
            <w:noProof/>
            <w:webHidden/>
          </w:rPr>
          <w:instrText xml:space="preserve"> PAGEREF _Toc184895268 \h </w:instrText>
        </w:r>
        <w:r>
          <w:rPr>
            <w:noProof/>
            <w:webHidden/>
          </w:rPr>
        </w:r>
        <w:r>
          <w:rPr>
            <w:noProof/>
            <w:webHidden/>
          </w:rPr>
          <w:fldChar w:fldCharType="separate"/>
        </w:r>
        <w:r w:rsidR="005F3550">
          <w:rPr>
            <w:noProof/>
            <w:webHidden/>
          </w:rPr>
          <w:t>6</w:t>
        </w:r>
        <w:r>
          <w:rPr>
            <w:noProof/>
            <w:webHidden/>
          </w:rPr>
          <w:fldChar w:fldCharType="end"/>
        </w:r>
      </w:hyperlink>
    </w:p>
    <w:p w14:paraId="15C4491C" w14:textId="04D09139" w:rsidR="004868CA" w:rsidRDefault="004868CA">
      <w:pPr>
        <w:pStyle w:val="TOC1"/>
        <w:tabs>
          <w:tab w:val="right" w:leader="dot" w:pos="9060"/>
        </w:tabs>
        <w:rPr>
          <w:rFonts w:eastAsiaTheme="minorEastAsia"/>
          <w:noProof/>
          <w:sz w:val="24"/>
          <w:szCs w:val="24"/>
          <w:lang w:eastAsia="en-AU"/>
        </w:rPr>
      </w:pPr>
      <w:hyperlink w:anchor="_Toc184895269" w:history="1">
        <w:r w:rsidRPr="00647B8F">
          <w:rPr>
            <w:rStyle w:val="Hyperlink"/>
            <w:noProof/>
          </w:rPr>
          <w:t>Year 5</w:t>
        </w:r>
        <w:r>
          <w:rPr>
            <w:noProof/>
            <w:webHidden/>
          </w:rPr>
          <w:tab/>
        </w:r>
        <w:r>
          <w:rPr>
            <w:noProof/>
            <w:webHidden/>
          </w:rPr>
          <w:fldChar w:fldCharType="begin"/>
        </w:r>
        <w:r>
          <w:rPr>
            <w:noProof/>
            <w:webHidden/>
          </w:rPr>
          <w:instrText xml:space="preserve"> PAGEREF _Toc184895269 \h </w:instrText>
        </w:r>
        <w:r>
          <w:rPr>
            <w:noProof/>
            <w:webHidden/>
          </w:rPr>
        </w:r>
        <w:r>
          <w:rPr>
            <w:noProof/>
            <w:webHidden/>
          </w:rPr>
          <w:fldChar w:fldCharType="separate"/>
        </w:r>
        <w:r w:rsidR="005F3550">
          <w:rPr>
            <w:noProof/>
            <w:webHidden/>
          </w:rPr>
          <w:t>7</w:t>
        </w:r>
        <w:r>
          <w:rPr>
            <w:noProof/>
            <w:webHidden/>
          </w:rPr>
          <w:fldChar w:fldCharType="end"/>
        </w:r>
      </w:hyperlink>
    </w:p>
    <w:p w14:paraId="26357BA9" w14:textId="09E84619" w:rsidR="004868CA" w:rsidRDefault="004868CA">
      <w:pPr>
        <w:pStyle w:val="TOC1"/>
        <w:tabs>
          <w:tab w:val="right" w:leader="dot" w:pos="9060"/>
        </w:tabs>
        <w:rPr>
          <w:rFonts w:eastAsiaTheme="minorEastAsia"/>
          <w:noProof/>
          <w:sz w:val="24"/>
          <w:szCs w:val="24"/>
          <w:lang w:eastAsia="en-AU"/>
        </w:rPr>
      </w:pPr>
      <w:hyperlink w:anchor="_Toc184895270" w:history="1">
        <w:r w:rsidRPr="00647B8F">
          <w:rPr>
            <w:rStyle w:val="Hyperlink"/>
            <w:noProof/>
          </w:rPr>
          <w:t>Year 6</w:t>
        </w:r>
        <w:r>
          <w:rPr>
            <w:noProof/>
            <w:webHidden/>
          </w:rPr>
          <w:tab/>
        </w:r>
        <w:r>
          <w:rPr>
            <w:noProof/>
            <w:webHidden/>
          </w:rPr>
          <w:fldChar w:fldCharType="begin"/>
        </w:r>
        <w:r>
          <w:rPr>
            <w:noProof/>
            <w:webHidden/>
          </w:rPr>
          <w:instrText xml:space="preserve"> PAGEREF _Toc184895270 \h </w:instrText>
        </w:r>
        <w:r>
          <w:rPr>
            <w:noProof/>
            <w:webHidden/>
          </w:rPr>
        </w:r>
        <w:r>
          <w:rPr>
            <w:noProof/>
            <w:webHidden/>
          </w:rPr>
          <w:fldChar w:fldCharType="separate"/>
        </w:r>
        <w:r w:rsidR="005F3550">
          <w:rPr>
            <w:noProof/>
            <w:webHidden/>
          </w:rPr>
          <w:t>8</w:t>
        </w:r>
        <w:r>
          <w:rPr>
            <w:noProof/>
            <w:webHidden/>
          </w:rPr>
          <w:fldChar w:fldCharType="end"/>
        </w:r>
      </w:hyperlink>
    </w:p>
    <w:p w14:paraId="6CD5B69E" w14:textId="5BAD7B4C" w:rsidR="004868CA" w:rsidRDefault="004868CA">
      <w:pPr>
        <w:pStyle w:val="TOC1"/>
        <w:tabs>
          <w:tab w:val="right" w:leader="dot" w:pos="9060"/>
        </w:tabs>
        <w:rPr>
          <w:rFonts w:eastAsiaTheme="minorEastAsia"/>
          <w:noProof/>
          <w:sz w:val="24"/>
          <w:szCs w:val="24"/>
          <w:lang w:eastAsia="en-AU"/>
        </w:rPr>
      </w:pPr>
      <w:hyperlink w:anchor="_Toc184895271" w:history="1">
        <w:r w:rsidRPr="00647B8F">
          <w:rPr>
            <w:rStyle w:val="Hyperlink"/>
            <w:noProof/>
          </w:rPr>
          <w:t>Year 7</w:t>
        </w:r>
        <w:r>
          <w:rPr>
            <w:noProof/>
            <w:webHidden/>
          </w:rPr>
          <w:tab/>
        </w:r>
        <w:r>
          <w:rPr>
            <w:noProof/>
            <w:webHidden/>
          </w:rPr>
          <w:fldChar w:fldCharType="begin"/>
        </w:r>
        <w:r>
          <w:rPr>
            <w:noProof/>
            <w:webHidden/>
          </w:rPr>
          <w:instrText xml:space="preserve"> PAGEREF _Toc184895271 \h </w:instrText>
        </w:r>
        <w:r>
          <w:rPr>
            <w:noProof/>
            <w:webHidden/>
          </w:rPr>
        </w:r>
        <w:r>
          <w:rPr>
            <w:noProof/>
            <w:webHidden/>
          </w:rPr>
          <w:fldChar w:fldCharType="separate"/>
        </w:r>
        <w:r w:rsidR="005F3550">
          <w:rPr>
            <w:noProof/>
            <w:webHidden/>
          </w:rPr>
          <w:t>9</w:t>
        </w:r>
        <w:r>
          <w:rPr>
            <w:noProof/>
            <w:webHidden/>
          </w:rPr>
          <w:fldChar w:fldCharType="end"/>
        </w:r>
      </w:hyperlink>
    </w:p>
    <w:p w14:paraId="5DCBBC64" w14:textId="5FDC4B00" w:rsidR="004868CA" w:rsidRDefault="004868CA">
      <w:pPr>
        <w:pStyle w:val="TOC1"/>
        <w:tabs>
          <w:tab w:val="right" w:leader="dot" w:pos="9060"/>
        </w:tabs>
        <w:rPr>
          <w:rFonts w:eastAsiaTheme="minorEastAsia"/>
          <w:noProof/>
          <w:sz w:val="24"/>
          <w:szCs w:val="24"/>
          <w:lang w:eastAsia="en-AU"/>
        </w:rPr>
      </w:pPr>
      <w:hyperlink w:anchor="_Toc184895272" w:history="1">
        <w:r w:rsidRPr="00647B8F">
          <w:rPr>
            <w:rStyle w:val="Hyperlink"/>
            <w:noProof/>
          </w:rPr>
          <w:t>Year 8</w:t>
        </w:r>
        <w:r>
          <w:rPr>
            <w:noProof/>
            <w:webHidden/>
          </w:rPr>
          <w:tab/>
        </w:r>
        <w:r>
          <w:rPr>
            <w:noProof/>
            <w:webHidden/>
          </w:rPr>
          <w:fldChar w:fldCharType="begin"/>
        </w:r>
        <w:r>
          <w:rPr>
            <w:noProof/>
            <w:webHidden/>
          </w:rPr>
          <w:instrText xml:space="preserve"> PAGEREF _Toc184895272 \h </w:instrText>
        </w:r>
        <w:r>
          <w:rPr>
            <w:noProof/>
            <w:webHidden/>
          </w:rPr>
        </w:r>
        <w:r>
          <w:rPr>
            <w:noProof/>
            <w:webHidden/>
          </w:rPr>
          <w:fldChar w:fldCharType="separate"/>
        </w:r>
        <w:r w:rsidR="005F3550">
          <w:rPr>
            <w:noProof/>
            <w:webHidden/>
          </w:rPr>
          <w:t>10</w:t>
        </w:r>
        <w:r>
          <w:rPr>
            <w:noProof/>
            <w:webHidden/>
          </w:rPr>
          <w:fldChar w:fldCharType="end"/>
        </w:r>
      </w:hyperlink>
    </w:p>
    <w:p w14:paraId="6C071EDE" w14:textId="34FBEF6A" w:rsidR="004868CA" w:rsidRDefault="004868CA">
      <w:pPr>
        <w:pStyle w:val="TOC1"/>
        <w:tabs>
          <w:tab w:val="right" w:leader="dot" w:pos="9060"/>
        </w:tabs>
        <w:rPr>
          <w:rFonts w:eastAsiaTheme="minorEastAsia"/>
          <w:noProof/>
          <w:sz w:val="24"/>
          <w:szCs w:val="24"/>
          <w:lang w:eastAsia="en-AU"/>
        </w:rPr>
      </w:pPr>
      <w:hyperlink w:anchor="_Toc184895273" w:history="1">
        <w:r w:rsidRPr="00647B8F">
          <w:rPr>
            <w:rStyle w:val="Hyperlink"/>
            <w:noProof/>
          </w:rPr>
          <w:t>Year 9</w:t>
        </w:r>
        <w:r>
          <w:rPr>
            <w:noProof/>
            <w:webHidden/>
          </w:rPr>
          <w:tab/>
        </w:r>
        <w:r>
          <w:rPr>
            <w:noProof/>
            <w:webHidden/>
          </w:rPr>
          <w:fldChar w:fldCharType="begin"/>
        </w:r>
        <w:r>
          <w:rPr>
            <w:noProof/>
            <w:webHidden/>
          </w:rPr>
          <w:instrText xml:space="preserve"> PAGEREF _Toc184895273 \h </w:instrText>
        </w:r>
        <w:r>
          <w:rPr>
            <w:noProof/>
            <w:webHidden/>
          </w:rPr>
        </w:r>
        <w:r>
          <w:rPr>
            <w:noProof/>
            <w:webHidden/>
          </w:rPr>
          <w:fldChar w:fldCharType="separate"/>
        </w:r>
        <w:r w:rsidR="005F3550">
          <w:rPr>
            <w:noProof/>
            <w:webHidden/>
          </w:rPr>
          <w:t>11</w:t>
        </w:r>
        <w:r>
          <w:rPr>
            <w:noProof/>
            <w:webHidden/>
          </w:rPr>
          <w:fldChar w:fldCharType="end"/>
        </w:r>
      </w:hyperlink>
    </w:p>
    <w:p w14:paraId="683822FB" w14:textId="212D2C98" w:rsidR="004868CA" w:rsidRDefault="004868CA">
      <w:pPr>
        <w:pStyle w:val="TOC1"/>
        <w:tabs>
          <w:tab w:val="right" w:leader="dot" w:pos="9060"/>
        </w:tabs>
        <w:rPr>
          <w:rFonts w:eastAsiaTheme="minorEastAsia"/>
          <w:noProof/>
          <w:sz w:val="24"/>
          <w:szCs w:val="24"/>
          <w:lang w:eastAsia="en-AU"/>
        </w:rPr>
      </w:pPr>
      <w:hyperlink w:anchor="_Toc184895274" w:history="1">
        <w:r w:rsidRPr="00647B8F">
          <w:rPr>
            <w:rStyle w:val="Hyperlink"/>
            <w:noProof/>
          </w:rPr>
          <w:t>Year 10</w:t>
        </w:r>
        <w:r>
          <w:rPr>
            <w:noProof/>
            <w:webHidden/>
          </w:rPr>
          <w:tab/>
        </w:r>
        <w:r>
          <w:rPr>
            <w:noProof/>
            <w:webHidden/>
          </w:rPr>
          <w:fldChar w:fldCharType="begin"/>
        </w:r>
        <w:r>
          <w:rPr>
            <w:noProof/>
            <w:webHidden/>
          </w:rPr>
          <w:instrText xml:space="preserve"> PAGEREF _Toc184895274 \h </w:instrText>
        </w:r>
        <w:r>
          <w:rPr>
            <w:noProof/>
            <w:webHidden/>
          </w:rPr>
        </w:r>
        <w:r>
          <w:rPr>
            <w:noProof/>
            <w:webHidden/>
          </w:rPr>
          <w:fldChar w:fldCharType="separate"/>
        </w:r>
        <w:r w:rsidR="005F3550">
          <w:rPr>
            <w:noProof/>
            <w:webHidden/>
          </w:rPr>
          <w:t>12</w:t>
        </w:r>
        <w:r>
          <w:rPr>
            <w:noProof/>
            <w:webHidden/>
          </w:rPr>
          <w:fldChar w:fldCharType="end"/>
        </w:r>
      </w:hyperlink>
    </w:p>
    <w:p w14:paraId="51C8DF72" w14:textId="1496B2F4" w:rsidR="005F3550" w:rsidRDefault="007A14D0" w:rsidP="00216197">
      <w:pPr>
        <w:rPr>
          <w:bdr w:val="nil"/>
          <w:lang w:eastAsia="en-US" w:bidi="ar-SA"/>
        </w:rPr>
      </w:pPr>
      <w:r>
        <w:rPr>
          <w:bdr w:val="nil"/>
          <w:lang w:eastAsia="en-US" w:bidi="ar-SA"/>
        </w:rPr>
        <w:fldChar w:fldCharType="end"/>
      </w:r>
    </w:p>
    <w:p w14:paraId="745BEC2A" w14:textId="77777777" w:rsidR="005F3550" w:rsidRDefault="005F3550">
      <w:pPr>
        <w:spacing w:after="160" w:line="278" w:lineRule="auto"/>
        <w:rPr>
          <w:bdr w:val="nil"/>
          <w:lang w:eastAsia="en-US" w:bidi="ar-SA"/>
        </w:rPr>
      </w:pPr>
      <w:r>
        <w:rPr>
          <w:bdr w:val="nil"/>
          <w:lang w:eastAsia="en-US" w:bidi="ar-SA"/>
        </w:rPr>
        <w:br w:type="page"/>
      </w:r>
    </w:p>
    <w:p w14:paraId="341E858A" w14:textId="77777777" w:rsidR="005F3550" w:rsidRDefault="005F3550" w:rsidP="00216197">
      <w:pPr>
        <w:rPr>
          <w:bdr w:val="nil"/>
          <w:lang w:eastAsia="en-US" w:bidi="ar-SA"/>
        </w:rPr>
      </w:pPr>
    </w:p>
    <w:p w14:paraId="578873D2" w14:textId="550A8F2F" w:rsidR="005F3550" w:rsidRDefault="005F3550" w:rsidP="00216197">
      <w:pPr>
        <w:rPr>
          <w:bdr w:val="nil"/>
          <w:lang w:eastAsia="en-US" w:bidi="ar-SA"/>
        </w:rPr>
        <w:sectPr w:rsidR="005F3550" w:rsidSect="001F11B0">
          <w:footerReference w:type="even" r:id="rId11"/>
          <w:footerReference w:type="default" r:id="rId12"/>
          <w:headerReference w:type="first" r:id="rId13"/>
          <w:footerReference w:type="first" r:id="rId14"/>
          <w:pgSz w:w="11906" w:h="16838" w:code="9"/>
          <w:pgMar w:top="1644" w:right="1418" w:bottom="1276" w:left="1418" w:header="680" w:footer="567" w:gutter="0"/>
          <w:cols w:space="708"/>
          <w:docGrid w:linePitch="360"/>
        </w:sectPr>
      </w:pPr>
    </w:p>
    <w:p w14:paraId="3FF76327" w14:textId="6504ED35" w:rsidR="00D762E2" w:rsidRPr="00D762E2" w:rsidRDefault="00D762E2" w:rsidP="00216197">
      <w:pPr>
        <w:pStyle w:val="SCSAHeading1"/>
      </w:pPr>
      <w:bookmarkStart w:id="9" w:name="_Toc184895263"/>
      <w:r w:rsidRPr="00216197">
        <w:lastRenderedPageBreak/>
        <w:t>Overview</w:t>
      </w:r>
      <w:bookmarkEnd w:id="3"/>
      <w:bookmarkEnd w:id="4"/>
      <w:bookmarkEnd w:id="5"/>
      <w:bookmarkEnd w:id="6"/>
      <w:bookmarkEnd w:id="7"/>
      <w:bookmarkEnd w:id="9"/>
    </w:p>
    <w:bookmarkEnd w:id="8"/>
    <w:p w14:paraId="3AB45357" w14:textId="0AE15204" w:rsidR="005F3550" w:rsidRDefault="003727D4" w:rsidP="006730BC">
      <w:pPr>
        <w:spacing w:after="160" w:line="278" w:lineRule="auto"/>
        <w:rPr>
          <w:rFonts w:ascii="Calibri" w:hAnsi="Calibri" w:cs="Calibri"/>
        </w:rPr>
      </w:pPr>
      <w:r>
        <w:rPr>
          <w:rFonts w:ascii="Calibri" w:hAnsi="Calibri" w:cs="Calibri"/>
        </w:rPr>
        <w:t>Y</w:t>
      </w:r>
      <w:r w:rsidR="006730BC">
        <w:rPr>
          <w:rFonts w:ascii="Calibri" w:hAnsi="Calibri" w:cs="Calibri"/>
        </w:rPr>
        <w:t>ear level descriptions provide an overview of the content being studied at that year level. The year level descriptions include reference to the phases of schooling to provide guidance about the sort of learning experiences that children and students are like</w:t>
      </w:r>
      <w:r w:rsidR="00C31A6D">
        <w:rPr>
          <w:rFonts w:ascii="Calibri" w:hAnsi="Calibri" w:cs="Calibri"/>
        </w:rPr>
        <w:t>ly</w:t>
      </w:r>
      <w:r w:rsidR="006730BC">
        <w:rPr>
          <w:rFonts w:ascii="Calibri" w:hAnsi="Calibri" w:cs="Calibri"/>
        </w:rPr>
        <w:t xml:space="preserve"> to engage with.</w:t>
      </w:r>
    </w:p>
    <w:p w14:paraId="402C3C90" w14:textId="77777777" w:rsidR="005F3550" w:rsidRDefault="005F3550">
      <w:pPr>
        <w:spacing w:after="160" w:line="278" w:lineRule="auto"/>
        <w:rPr>
          <w:rFonts w:ascii="Calibri" w:hAnsi="Calibri" w:cs="Calibri"/>
        </w:rPr>
      </w:pPr>
      <w:r>
        <w:rPr>
          <w:rFonts w:ascii="Calibri" w:hAnsi="Calibri" w:cs="Calibri"/>
        </w:rPr>
        <w:br w:type="page"/>
      </w:r>
    </w:p>
    <w:p w14:paraId="08945A89" w14:textId="5F9C59F7" w:rsidR="00D762E2" w:rsidRPr="00D762E2" w:rsidRDefault="00D762E2" w:rsidP="00216197">
      <w:pPr>
        <w:pStyle w:val="SCSAHeading1"/>
      </w:pPr>
      <w:bookmarkStart w:id="10" w:name="_Toc166741553"/>
      <w:bookmarkStart w:id="11" w:name="_Toc183186471"/>
      <w:bookmarkStart w:id="12" w:name="_Toc184895264"/>
      <w:r w:rsidRPr="00D762E2">
        <w:lastRenderedPageBreak/>
        <w:t>Pre-</w:t>
      </w:r>
      <w:r w:rsidRPr="00216197">
        <w:t>primary</w:t>
      </w:r>
      <w:bookmarkEnd w:id="10"/>
      <w:bookmarkEnd w:id="11"/>
      <w:bookmarkEnd w:id="12"/>
    </w:p>
    <w:p w14:paraId="5D32EFE9" w14:textId="77777777" w:rsidR="006730BC" w:rsidRPr="00A5381D" w:rsidRDefault="006730BC" w:rsidP="006730BC">
      <w:pPr>
        <w:rPr>
          <w:rFonts w:cs="Arial"/>
          <w:lang w:val="en-US"/>
        </w:rPr>
      </w:pPr>
      <w:bookmarkStart w:id="13" w:name="_Hlk177628685"/>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understandings, skills, values and attitudes across learning areas connects learning to children’s lives and their natural curiosity about their world.</w:t>
      </w:r>
    </w:p>
    <w:p w14:paraId="2EE7B4D8" w14:textId="77777777" w:rsidR="006730BC" w:rsidRPr="00A5381D" w:rsidRDefault="006730BC" w:rsidP="006730BC">
      <w:pPr>
        <w:keepLines/>
        <w:rPr>
          <w:rFonts w:cs="Arial"/>
        </w:rPr>
      </w:pPr>
      <w:r w:rsidRPr="00A5381D">
        <w:rPr>
          <w:rFonts w:cs="Arial"/>
        </w:rPr>
        <w:t xml:space="preserve">Mathematics provides opportunities for children to learn through a variety of means, including play and experimentation. Concrete materials are used to explore and visualise concepts, developing content knowledge and understanding of the symbolic representations associated with Mathematics. </w:t>
      </w:r>
    </w:p>
    <w:p w14:paraId="5EFFC761" w14:textId="77777777" w:rsidR="006730BC" w:rsidRPr="00A5381D" w:rsidRDefault="006730BC" w:rsidP="006730BC">
      <w:pPr>
        <w:keepLines/>
        <w:rPr>
          <w:rFonts w:eastAsia="Times New Roman" w:cs="Arial"/>
          <w:lang w:eastAsia="en-AU"/>
        </w:rPr>
      </w:pPr>
      <w:r w:rsidRPr="00A5381D">
        <w:rPr>
          <w:rFonts w:cs="Arial"/>
        </w:rPr>
        <w:t>Children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3CFCDB44" w14:textId="399D08F4" w:rsidR="00FB1373" w:rsidRPr="002941BF" w:rsidRDefault="006730BC" w:rsidP="006730BC">
      <w:r w:rsidRPr="00A5381D">
        <w:rPr>
          <w:rFonts w:cs="Arial"/>
        </w:rPr>
        <w:t>In Pre-primary, children begin to explore the number system and partitions of collections. They represent situations involving addition, subtraction, grouping and sharing using role-play and concrete materials. Children explore measurement attributes, familiar two-dimensional shapes and three-dimensional objects, and use everyday mathematical language to describe the world around them. They explore chance in familiar contexts and collect and compare data relevant to them.</w:t>
      </w:r>
      <w:r w:rsidR="00FB1373" w:rsidRPr="002941BF">
        <w:t xml:space="preserve"> </w:t>
      </w:r>
      <w:bookmarkEnd w:id="13"/>
    </w:p>
    <w:p w14:paraId="5A4863FA" w14:textId="42802FE2" w:rsidR="00D762E2" w:rsidRDefault="00D762E2">
      <w:pPr>
        <w:spacing w:after="160" w:line="278" w:lineRule="auto"/>
        <w:rPr>
          <w:lang w:eastAsia="en-AU" w:bidi="ar-SA"/>
        </w:rPr>
      </w:pPr>
      <w:r>
        <w:rPr>
          <w:lang w:eastAsia="en-AU" w:bidi="ar-SA"/>
        </w:rPr>
        <w:br w:type="page"/>
      </w:r>
    </w:p>
    <w:p w14:paraId="7C901290" w14:textId="77777777" w:rsidR="00D762E2" w:rsidRPr="00D762E2" w:rsidRDefault="00D762E2" w:rsidP="007A14D0">
      <w:pPr>
        <w:pStyle w:val="SCSAHeading1"/>
      </w:pPr>
      <w:bookmarkStart w:id="14" w:name="_Toc183186472"/>
      <w:bookmarkStart w:id="15" w:name="_Toc184895265"/>
      <w:r w:rsidRPr="00D762E2">
        <w:lastRenderedPageBreak/>
        <w:t>Year 1</w:t>
      </w:r>
      <w:bookmarkEnd w:id="14"/>
      <w:bookmarkEnd w:id="15"/>
    </w:p>
    <w:p w14:paraId="421F686E" w14:textId="77777777" w:rsidR="006730BC" w:rsidRPr="00A5381D" w:rsidRDefault="006730BC" w:rsidP="006730BC">
      <w:pPr>
        <w:keepLines/>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15" w:history="1">
        <w:r w:rsidRPr="004868C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01A2D5FE" w14:textId="77777777" w:rsidR="006730BC" w:rsidRPr="00A5381D" w:rsidRDefault="006730BC" w:rsidP="006730BC">
      <w:pPr>
        <w:keepLines/>
        <w:rPr>
          <w:rFonts w:cs="Arial"/>
        </w:rPr>
      </w:pPr>
      <w:r w:rsidRPr="00A5381D">
        <w:rPr>
          <w:rFonts w:cs="Arial"/>
        </w:rPr>
        <w:t xml:space="preserve">Mathematics provides opportunities for children to learn through a variety of means, including play and experimentation. Concrete materials are used to explore and visualise concepts, developing content knowledge and understanding of the symbolic representations associated with Mathematics. </w:t>
      </w:r>
    </w:p>
    <w:p w14:paraId="72AC1424" w14:textId="77777777" w:rsidR="006730BC" w:rsidRPr="00A5381D" w:rsidRDefault="006730BC" w:rsidP="006730BC">
      <w:pPr>
        <w:keepLines/>
        <w:rPr>
          <w:rFonts w:cs="Arial"/>
        </w:rPr>
      </w:pPr>
      <w:r w:rsidRPr="00A5381D">
        <w:rPr>
          <w:rFonts w:cs="Arial"/>
        </w:rPr>
        <w:t>Children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4AB9BC41" w14:textId="71239434" w:rsidR="00D762E2" w:rsidRDefault="006730BC" w:rsidP="006730BC">
      <w:pPr>
        <w:spacing w:after="160" w:line="278" w:lineRule="auto"/>
        <w:rPr>
          <w:lang w:eastAsia="en-AU" w:bidi="ar-SA"/>
        </w:rPr>
      </w:pPr>
      <w:r w:rsidRPr="00A5381D">
        <w:rPr>
          <w:rFonts w:cs="Arial"/>
        </w:rPr>
        <w:t>In Year 1, children become more familiar with the number system beyond two</w:t>
      </w:r>
      <w:r w:rsidR="0045375A">
        <w:rPr>
          <w:rFonts w:cs="Arial"/>
        </w:rPr>
        <w:t>-</w:t>
      </w:r>
      <w:r w:rsidRPr="00A5381D">
        <w:rPr>
          <w:rFonts w:cs="Arial"/>
        </w:rPr>
        <w:t>digits. They manipulate and compare small collections using them to build calculation strategies and model real</w:t>
      </w:r>
      <w:r w:rsidR="0021739E">
        <w:rPr>
          <w:rFonts w:cs="Arial"/>
        </w:rPr>
        <w:noBreakHyphen/>
      </w:r>
      <w:r w:rsidRPr="00A5381D">
        <w:rPr>
          <w:rFonts w:cs="Arial"/>
        </w:rPr>
        <w:t xml:space="preserve">world situations. Children explore their world, comparing </w:t>
      </w:r>
      <w:r w:rsidR="00E322CB">
        <w:rPr>
          <w:rFonts w:cs="Arial"/>
        </w:rPr>
        <w:t>everyday items</w:t>
      </w:r>
      <w:r w:rsidRPr="00A5381D">
        <w:rPr>
          <w:rFonts w:cs="Arial"/>
        </w:rPr>
        <w:t xml:space="preserve"> based on different measurement attributes. They name two-dimensional shapes and three-dimensional objects and read the time on digital clocks. Children describe and reason about the likelihood of familiar events occurring and answer questions of interest by collecting categorical data.</w:t>
      </w:r>
      <w:r w:rsidR="00D762E2">
        <w:rPr>
          <w:lang w:eastAsia="en-AU" w:bidi="ar-SA"/>
        </w:rPr>
        <w:br w:type="page"/>
      </w:r>
    </w:p>
    <w:p w14:paraId="1F143127" w14:textId="416AFAA3" w:rsidR="00D762E2" w:rsidRPr="00D762E2" w:rsidRDefault="00D762E2" w:rsidP="007A14D0">
      <w:pPr>
        <w:pStyle w:val="SCSAHeading1"/>
      </w:pPr>
      <w:bookmarkStart w:id="16" w:name="_Toc184895266"/>
      <w:r w:rsidRPr="00D762E2">
        <w:lastRenderedPageBreak/>
        <w:t xml:space="preserve">Year </w:t>
      </w:r>
      <w:r>
        <w:t>2</w:t>
      </w:r>
      <w:bookmarkEnd w:id="16"/>
    </w:p>
    <w:p w14:paraId="3E96B69F" w14:textId="77777777" w:rsidR="006730BC" w:rsidRPr="00A5381D" w:rsidRDefault="006730BC" w:rsidP="006730BC">
      <w:pPr>
        <w:keepLines/>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16" w:history="1">
        <w:r w:rsidRPr="004868C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1A05F992" w14:textId="77777777" w:rsidR="006730BC" w:rsidRPr="00A5381D" w:rsidRDefault="006730BC" w:rsidP="006730BC">
      <w:pPr>
        <w:keepLines/>
        <w:rPr>
          <w:rFonts w:cs="Arial"/>
        </w:rPr>
      </w:pPr>
      <w:r w:rsidRPr="00A5381D">
        <w:rPr>
          <w:rFonts w:cs="Arial"/>
        </w:rPr>
        <w:t xml:space="preserve">Mathematics provides opportunities for children to learn through a variety of means, including play and experimentation. Concrete materials are used to explore and visualise concepts, developing content knowledge and understanding of the symbolic representations associated with Mathematics. </w:t>
      </w:r>
    </w:p>
    <w:p w14:paraId="396CC4C3" w14:textId="77777777" w:rsidR="006730BC" w:rsidRPr="00A5381D" w:rsidRDefault="006730BC" w:rsidP="006730BC">
      <w:pPr>
        <w:keepLines/>
        <w:rPr>
          <w:rFonts w:eastAsia="Times New Roman" w:cs="Arial"/>
          <w:lang w:eastAsia="en-AU"/>
        </w:rPr>
      </w:pPr>
      <w:r w:rsidRPr="00A5381D">
        <w:rPr>
          <w:rFonts w:cs="Arial"/>
        </w:rPr>
        <w:t>Children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4E2C931A" w14:textId="7C0750A1" w:rsidR="00D762E2" w:rsidRDefault="006730BC" w:rsidP="006730BC">
      <w:pPr>
        <w:rPr>
          <w:lang w:eastAsia="en-AU" w:bidi="ar-SA"/>
        </w:rPr>
      </w:pPr>
      <w:r w:rsidRPr="00A5381D">
        <w:rPr>
          <w:rFonts w:cs="Arial"/>
        </w:rPr>
        <w:t>In Year 2, children extend their knowledge of the number system beyond three</w:t>
      </w:r>
      <w:r w:rsidR="0045375A">
        <w:rPr>
          <w:rFonts w:cs="Arial"/>
        </w:rPr>
        <w:t>-</w:t>
      </w:r>
      <w:r w:rsidRPr="00A5381D">
        <w:rPr>
          <w:rFonts w:cs="Arial"/>
        </w:rPr>
        <w:t>digits. They connect place value and partitions to calculation strategies and apply these to model real-world situations that are relevant to them. Children broaden their awareness of how Mathematics occurs in the world around them as they explore the relationship between dollars and cents and their value, continue to develop an understanding of measurement attributes, including area and tell time to the hour, half</w:t>
      </w:r>
      <w:r w:rsidR="0021739E">
        <w:rPr>
          <w:rFonts w:cs="Arial"/>
        </w:rPr>
        <w:noBreakHyphen/>
      </w:r>
      <w:r w:rsidRPr="00A5381D">
        <w:rPr>
          <w:rFonts w:cs="Arial"/>
        </w:rPr>
        <w:t xml:space="preserve"> and quarter-hour on analogue and digital clocks. In familiar contexts, children build on their understanding of chance, comparing the likelihood of familiar chance events, and collect, compare and display data to answer a question of interest.</w:t>
      </w:r>
      <w:r w:rsidR="00D762E2">
        <w:rPr>
          <w:lang w:eastAsia="en-AU" w:bidi="ar-SA"/>
        </w:rPr>
        <w:br w:type="page"/>
      </w:r>
    </w:p>
    <w:p w14:paraId="21E8EBCD" w14:textId="06DE1BDB" w:rsidR="00D762E2" w:rsidRPr="00D762E2" w:rsidRDefault="00D762E2" w:rsidP="007A14D0">
      <w:pPr>
        <w:pStyle w:val="SCSAHeading1"/>
      </w:pPr>
      <w:bookmarkStart w:id="17" w:name="_Toc184895267"/>
      <w:r w:rsidRPr="00D762E2">
        <w:lastRenderedPageBreak/>
        <w:t xml:space="preserve">Year </w:t>
      </w:r>
      <w:r>
        <w:t>3</w:t>
      </w:r>
      <w:bookmarkEnd w:id="17"/>
    </w:p>
    <w:p w14:paraId="13B8872E" w14:textId="77777777" w:rsidR="006730BC" w:rsidRPr="00A5381D" w:rsidRDefault="006730BC" w:rsidP="006730BC">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4D90D49B" w14:textId="77777777" w:rsidR="006730BC" w:rsidRPr="00A5381D" w:rsidRDefault="006730BC" w:rsidP="006730BC">
      <w:pPr>
        <w:rPr>
          <w:rFonts w:cs="Arial"/>
        </w:rPr>
      </w:pPr>
      <w:r w:rsidRPr="00A5381D">
        <w:rPr>
          <w:rFonts w:cs="Arial"/>
        </w:rPr>
        <w:t xml:space="preserve">Mathematics provides opportunities for students to develop a sound grasp of numeric conventions. Concrete materials continue to assist students as they develop the ability to think in more abstract terms. </w:t>
      </w:r>
    </w:p>
    <w:p w14:paraId="506EC657" w14:textId="77777777" w:rsidR="006730BC" w:rsidRPr="00A5381D" w:rsidRDefault="006730BC" w:rsidP="006730BC">
      <w:pPr>
        <w:rPr>
          <w:rFonts w:eastAsia="Times New Roman" w:cs="Arial"/>
          <w:lang w:eastAsia="en-AU"/>
        </w:rPr>
      </w:pPr>
      <w:r w:rsidRPr="00A5381D">
        <w:rPr>
          <w:rFonts w:cs="Arial"/>
        </w:rPr>
        <w:t>Students engage in a range of approaches to learning through t</w:t>
      </w:r>
      <w:r w:rsidRPr="00A5381D">
        <w:rPr>
          <w:rFonts w:eastAsia="Times New Roman" w:cs="Arial"/>
          <w:lang w:eastAsia="en-AU"/>
        </w:rPr>
        <w:t>he proficiency strands of Understanding, Fluency, Problem-solving and Reasoning. These reinforce the significance of working mathematically with the content and describe how the content is explored or developed.</w:t>
      </w:r>
    </w:p>
    <w:p w14:paraId="07DF706E" w14:textId="3B730A69" w:rsidR="00D762E2" w:rsidRDefault="006730BC" w:rsidP="006730BC">
      <w:pPr>
        <w:rPr>
          <w:lang w:eastAsia="en-AU" w:bidi="ar-SA"/>
        </w:rPr>
      </w:pPr>
      <w:r w:rsidRPr="00A5381D">
        <w:rPr>
          <w:rFonts w:cs="Arial"/>
        </w:rPr>
        <w:t xml:space="preserve">In Year 3, students recognise the place value pattern in numbers </w:t>
      </w:r>
      <w:r w:rsidR="0045375A">
        <w:rPr>
          <w:rFonts w:cs="Arial"/>
        </w:rPr>
        <w:t>to at least four-digits</w:t>
      </w:r>
      <w:r w:rsidRPr="00A5381D">
        <w:rPr>
          <w:rFonts w:cs="Arial"/>
        </w:rPr>
        <w:t>, explore different ways to partition numbers and the use of ‘greater than’ and ‘less than’ symbols. This knowledge is applied to a range of calculation strategies and supports the modelling of relevant real</w:t>
      </w:r>
      <w:r w:rsidR="002B2083">
        <w:rPr>
          <w:rFonts w:cs="Arial"/>
        </w:rPr>
        <w:noBreakHyphen/>
      </w:r>
      <w:r w:rsidRPr="00A5381D">
        <w:rPr>
          <w:rFonts w:cs="Arial"/>
        </w:rPr>
        <w:t xml:space="preserve">world situations. Students start using formal units of measurement and are introduced to the concept of angles, identifying mathematical applications in familiar contexts. They </w:t>
      </w:r>
      <w:r w:rsidR="0045375A">
        <w:rPr>
          <w:rFonts w:cs="Arial"/>
        </w:rPr>
        <w:t>recognise the likelihood of</w:t>
      </w:r>
      <w:r w:rsidRPr="00A5381D">
        <w:rPr>
          <w:rFonts w:cs="Arial"/>
        </w:rPr>
        <w:t xml:space="preserve"> outcomes </w:t>
      </w:r>
      <w:r w:rsidR="0045375A">
        <w:rPr>
          <w:rFonts w:cs="Arial"/>
        </w:rPr>
        <w:t>for</w:t>
      </w:r>
      <w:r w:rsidRPr="00A5381D">
        <w:rPr>
          <w:rFonts w:cs="Arial"/>
        </w:rPr>
        <w:t xml:space="preserve"> repeated chance experiments</w:t>
      </w:r>
      <w:r w:rsidR="0045375A">
        <w:rPr>
          <w:rFonts w:cs="Arial"/>
        </w:rPr>
        <w:t xml:space="preserve"> and </w:t>
      </w:r>
      <w:r w:rsidRPr="00A5381D">
        <w:rPr>
          <w:rFonts w:cs="Arial"/>
        </w:rPr>
        <w:t xml:space="preserve">explore different ways to collect </w:t>
      </w:r>
      <w:r w:rsidR="0045375A">
        <w:rPr>
          <w:rFonts w:cs="Arial"/>
        </w:rPr>
        <w:t xml:space="preserve">and represent </w:t>
      </w:r>
      <w:r w:rsidRPr="00A5381D">
        <w:rPr>
          <w:rFonts w:cs="Arial"/>
        </w:rPr>
        <w:t>data.</w:t>
      </w:r>
      <w:r w:rsidR="00D762E2">
        <w:rPr>
          <w:lang w:eastAsia="en-AU" w:bidi="ar-SA"/>
        </w:rPr>
        <w:br w:type="page"/>
      </w:r>
    </w:p>
    <w:p w14:paraId="6D0958C2" w14:textId="120B7444" w:rsidR="00D762E2" w:rsidRPr="00D762E2" w:rsidRDefault="00D762E2" w:rsidP="007A14D0">
      <w:pPr>
        <w:pStyle w:val="SCSAHeading1"/>
      </w:pPr>
      <w:bookmarkStart w:id="18" w:name="_Toc184895268"/>
      <w:r w:rsidRPr="00D762E2">
        <w:lastRenderedPageBreak/>
        <w:t xml:space="preserve">Year </w:t>
      </w:r>
      <w:r>
        <w:t>4</w:t>
      </w:r>
      <w:bookmarkEnd w:id="18"/>
    </w:p>
    <w:p w14:paraId="68C61829" w14:textId="77777777" w:rsidR="006730BC" w:rsidRPr="00A5381D" w:rsidRDefault="006730BC" w:rsidP="006730BC">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302083A8" w14:textId="77777777" w:rsidR="006730BC" w:rsidRPr="00A5381D" w:rsidRDefault="006730BC" w:rsidP="006730BC">
      <w:pPr>
        <w:rPr>
          <w:rFonts w:cs="Arial"/>
        </w:rPr>
      </w:pPr>
      <w:r w:rsidRPr="00A5381D">
        <w:rPr>
          <w:rFonts w:cs="Arial"/>
        </w:rPr>
        <w:t xml:space="preserve">Mathematics provides opportunities for students to develop a sound grasp of numeric conventions. Concrete materials continue to assist students as they develop the ability to think in more abstract terms. </w:t>
      </w:r>
    </w:p>
    <w:p w14:paraId="22EF9365" w14:textId="77777777" w:rsidR="006730BC" w:rsidRPr="00A5381D" w:rsidRDefault="006730BC" w:rsidP="006730BC">
      <w:pPr>
        <w:rPr>
          <w:rFonts w:eastAsia="Times New Roman" w:cs="Arial"/>
          <w:lang w:eastAsia="en-AU"/>
        </w:rPr>
      </w:pPr>
      <w:r w:rsidRPr="00A5381D">
        <w:rPr>
          <w:rFonts w:cs="Arial"/>
        </w:rPr>
        <w:t>Students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3956DEEE" w14:textId="3EE55A5B" w:rsidR="0045375A" w:rsidRDefault="006730BC" w:rsidP="006730BC">
      <w:pPr>
        <w:rPr>
          <w:rFonts w:cs="Arial"/>
        </w:rPr>
      </w:pPr>
      <w:r w:rsidRPr="00A5381D">
        <w:rPr>
          <w:rFonts w:cs="Arial"/>
        </w:rPr>
        <w:t xml:space="preserve">In Year 4, students extend their knowledge of the number system </w:t>
      </w:r>
      <w:r w:rsidR="0036722F">
        <w:rPr>
          <w:rFonts w:cs="Arial"/>
        </w:rPr>
        <w:t>t</w:t>
      </w:r>
      <w:r w:rsidRPr="00A5381D">
        <w:rPr>
          <w:rFonts w:cs="Arial"/>
        </w:rPr>
        <w:t>o</w:t>
      </w:r>
      <w:r w:rsidR="0036722F">
        <w:rPr>
          <w:rFonts w:cs="Arial"/>
        </w:rPr>
        <w:t xml:space="preserve"> at least</w:t>
      </w:r>
      <w:r w:rsidRPr="00A5381D">
        <w:rPr>
          <w:rFonts w:cs="Arial"/>
        </w:rPr>
        <w:t xml:space="preserve"> six</w:t>
      </w:r>
      <w:r w:rsidR="0036722F">
        <w:rPr>
          <w:rFonts w:cs="Arial"/>
        </w:rPr>
        <w:t>-</w:t>
      </w:r>
      <w:r w:rsidRPr="00A5381D">
        <w:rPr>
          <w:rFonts w:cs="Arial"/>
        </w:rPr>
        <w:t xml:space="preserve">digits and decimal numbers up to two decimal places. They apply this understanding when trialling strategies to calculate efficiently and model relevant real-world situations. Students continue to use formal units of measurement and reason to convert between units of time, expanding their understanding of practical applications of Mathematics in the world around them. </w:t>
      </w:r>
      <w:r w:rsidR="0036722F">
        <w:rPr>
          <w:rFonts w:cs="Arial"/>
        </w:rPr>
        <w:t>S</w:t>
      </w:r>
      <w:r w:rsidRPr="00A5381D">
        <w:rPr>
          <w:rFonts w:cs="Arial"/>
        </w:rPr>
        <w:t xml:space="preserve">tudents </w:t>
      </w:r>
      <w:r w:rsidR="0036722F">
        <w:rPr>
          <w:rFonts w:cs="Arial"/>
        </w:rPr>
        <w:t>identify</w:t>
      </w:r>
      <w:r w:rsidRPr="00A5381D">
        <w:rPr>
          <w:rFonts w:cs="Arial"/>
        </w:rPr>
        <w:t xml:space="preserve"> when </w:t>
      </w:r>
      <w:r w:rsidR="0036722F">
        <w:rPr>
          <w:rFonts w:cs="Arial"/>
        </w:rPr>
        <w:t xml:space="preserve">chance </w:t>
      </w:r>
      <w:r w:rsidRPr="00A5381D">
        <w:rPr>
          <w:rFonts w:cs="Arial"/>
        </w:rPr>
        <w:t>events are not affected by previous events</w:t>
      </w:r>
      <w:r w:rsidR="0036722F">
        <w:rPr>
          <w:rFonts w:cs="Arial"/>
        </w:rPr>
        <w:t xml:space="preserve"> and predict the likelihood of outcomes of repeated chance experiments</w:t>
      </w:r>
      <w:r w:rsidRPr="00A5381D">
        <w:rPr>
          <w:rFonts w:cs="Arial"/>
        </w:rPr>
        <w:t>. They collect, organise and represent data, checking for accuracy and consistency.</w:t>
      </w:r>
    </w:p>
    <w:p w14:paraId="77C8CA64" w14:textId="3D1E8350" w:rsidR="00D762E2" w:rsidRDefault="00D762E2" w:rsidP="006730BC">
      <w:pPr>
        <w:rPr>
          <w:lang w:eastAsia="en-AU" w:bidi="ar-SA"/>
        </w:rPr>
      </w:pPr>
      <w:r>
        <w:rPr>
          <w:lang w:eastAsia="en-AU" w:bidi="ar-SA"/>
        </w:rPr>
        <w:br w:type="page"/>
      </w:r>
    </w:p>
    <w:p w14:paraId="3581769D" w14:textId="3C6BD2B3" w:rsidR="00D762E2" w:rsidRPr="00D762E2" w:rsidRDefault="00D762E2" w:rsidP="007A14D0">
      <w:pPr>
        <w:pStyle w:val="SCSAHeading1"/>
      </w:pPr>
      <w:bookmarkStart w:id="19" w:name="_Toc184895269"/>
      <w:r w:rsidRPr="00D762E2">
        <w:lastRenderedPageBreak/>
        <w:t xml:space="preserve">Year </w:t>
      </w:r>
      <w:r>
        <w:t>5</w:t>
      </w:r>
      <w:bookmarkEnd w:id="19"/>
    </w:p>
    <w:p w14:paraId="50CB4B4E" w14:textId="77777777" w:rsidR="00DE3F8C" w:rsidRPr="00A5381D" w:rsidRDefault="00DE3F8C" w:rsidP="00DE3F8C">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11F25AF9" w14:textId="77777777" w:rsidR="00DE3F8C" w:rsidRPr="00A5381D" w:rsidRDefault="00DE3F8C" w:rsidP="00DE3F8C">
      <w:pPr>
        <w:rPr>
          <w:rFonts w:cs="Arial"/>
        </w:rPr>
      </w:pPr>
      <w:r w:rsidRPr="00A5381D">
        <w:rPr>
          <w:rFonts w:cs="Arial"/>
        </w:rPr>
        <w:t xml:space="preserve">Mathematics provides opportunities for students to develop a sound grasp of numeric conventions. Concrete materials continue to assist students as they develop the ability to think in more abstract terms. </w:t>
      </w:r>
    </w:p>
    <w:p w14:paraId="1220E828" w14:textId="77777777" w:rsidR="00DE3F8C" w:rsidRPr="00A5381D" w:rsidRDefault="00DE3F8C" w:rsidP="00DE3F8C">
      <w:pPr>
        <w:rPr>
          <w:rFonts w:eastAsia="Times New Roman" w:cs="Arial"/>
          <w:lang w:eastAsia="en-AU"/>
        </w:rPr>
      </w:pPr>
      <w:r w:rsidRPr="00A5381D">
        <w:rPr>
          <w:rFonts w:cs="Arial"/>
        </w:rPr>
        <w:t>Students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71E9E84B" w14:textId="30239ED3" w:rsidR="00D762E2" w:rsidRDefault="00DE3F8C" w:rsidP="00DE3F8C">
      <w:pPr>
        <w:rPr>
          <w:lang w:eastAsia="en-AU" w:bidi="ar-SA"/>
        </w:rPr>
      </w:pPr>
      <w:r w:rsidRPr="00A5381D">
        <w:rPr>
          <w:rFonts w:cs="Arial"/>
        </w:rPr>
        <w:t>In Year 5, students start to generalise place value patterns in seven-digit numbers and beyond and explore representations of factors and multiples. They apply this understanding when choosing from a range of strategies to calculate efficiently, and model additive and multiplicative problems relevant to their real world. Students choose appropriate metric units in practical situations, connect three</w:t>
      </w:r>
      <w:r w:rsidR="0021739E">
        <w:rPr>
          <w:rFonts w:cs="Arial"/>
        </w:rPr>
        <w:noBreakHyphen/>
      </w:r>
      <w:r w:rsidRPr="00A5381D">
        <w:rPr>
          <w:rFonts w:cs="Arial"/>
        </w:rPr>
        <w:t xml:space="preserve">dimensional objects with their nets and convert between 12- and 24-hour time systems. They explore the difference between </w:t>
      </w:r>
      <w:r w:rsidR="00517DC6">
        <w:rPr>
          <w:rFonts w:cs="Arial"/>
        </w:rPr>
        <w:t xml:space="preserve">chance events with </w:t>
      </w:r>
      <w:r w:rsidRPr="00A5381D">
        <w:rPr>
          <w:rFonts w:cs="Arial"/>
        </w:rPr>
        <w:t>equally likely and not equally likely outcomes and discuss variation in results across trials of repeated chance experiments. Students</w:t>
      </w:r>
      <w:r w:rsidR="00517DC6">
        <w:rPr>
          <w:rFonts w:cs="Arial"/>
        </w:rPr>
        <w:t xml:space="preserve"> are introduced to</w:t>
      </w:r>
      <w:r w:rsidRPr="00A5381D">
        <w:rPr>
          <w:rFonts w:cs="Arial"/>
        </w:rPr>
        <w:t xml:space="preserve"> line graphs</w:t>
      </w:r>
      <w:r w:rsidR="00517DC6">
        <w:rPr>
          <w:rFonts w:cs="Arial"/>
        </w:rPr>
        <w:t xml:space="preserve"> showing continuous data</w:t>
      </w:r>
      <w:r w:rsidRPr="00A5381D">
        <w:rPr>
          <w:rFonts w:cs="Arial"/>
        </w:rPr>
        <w:t xml:space="preserve"> and </w:t>
      </w:r>
      <w:r w:rsidR="00517DC6">
        <w:rPr>
          <w:rFonts w:cs="Arial"/>
        </w:rPr>
        <w:t>they make decisions about organising and representing data they have collected.</w:t>
      </w:r>
      <w:r w:rsidR="00D762E2">
        <w:rPr>
          <w:lang w:eastAsia="en-AU" w:bidi="ar-SA"/>
        </w:rPr>
        <w:br w:type="page"/>
      </w:r>
    </w:p>
    <w:p w14:paraId="7E8943CC" w14:textId="4A85AE3D" w:rsidR="00D762E2" w:rsidRPr="00D762E2" w:rsidRDefault="00D762E2" w:rsidP="007A14D0">
      <w:pPr>
        <w:pStyle w:val="SCSAHeading1"/>
      </w:pPr>
      <w:bookmarkStart w:id="20" w:name="_Toc184895270"/>
      <w:r w:rsidRPr="00D762E2">
        <w:lastRenderedPageBreak/>
        <w:t xml:space="preserve">Year </w:t>
      </w:r>
      <w:r>
        <w:t>6</w:t>
      </w:r>
      <w:bookmarkEnd w:id="20"/>
    </w:p>
    <w:p w14:paraId="4525D0CE" w14:textId="77777777" w:rsidR="00DE3F8C" w:rsidRPr="00A5381D" w:rsidRDefault="00DE3F8C" w:rsidP="00DE3F8C">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5C1A6C35" w14:textId="77777777" w:rsidR="00DE3F8C" w:rsidRPr="00A5381D" w:rsidRDefault="00DE3F8C" w:rsidP="00DE3F8C">
      <w:pPr>
        <w:rPr>
          <w:rFonts w:cs="Arial"/>
        </w:rPr>
      </w:pPr>
      <w:r w:rsidRPr="00A5381D">
        <w:rPr>
          <w:rFonts w:cs="Arial"/>
        </w:rPr>
        <w:t xml:space="preserve">Mathematics provides opportunities for students to develop a sound grasp of numeric conventions. Concrete materials continue to assist students to make sense of mathematical concepts as they develop the ability to think in more abstract terms. </w:t>
      </w:r>
    </w:p>
    <w:p w14:paraId="7257060E" w14:textId="77777777" w:rsidR="00DE3F8C" w:rsidRPr="00A5381D" w:rsidRDefault="00DE3F8C" w:rsidP="00DE3F8C">
      <w:pPr>
        <w:rPr>
          <w:rFonts w:eastAsia="Times New Roman" w:cs="Arial"/>
          <w:lang w:eastAsia="en-AU"/>
        </w:rPr>
      </w:pPr>
      <w:r w:rsidRPr="00A5381D">
        <w:rPr>
          <w:rFonts w:cs="Arial"/>
        </w:rPr>
        <w:t>Students engage in a range of approaches to learning through t</w:t>
      </w:r>
      <w:r w:rsidRPr="00A5381D">
        <w:rPr>
          <w:rFonts w:eastAsia="Times New Roman" w:cs="Arial"/>
          <w:lang w:eastAsia="en-AU"/>
        </w:rPr>
        <w:t>he proficiency strands of Understanding, Fluency, Problem-solving and Reasoning. These</w:t>
      </w:r>
      <w:r w:rsidRPr="00A5381D">
        <w:rPr>
          <w:rFonts w:eastAsia="Times New Roman" w:cs="Arial"/>
          <w:b/>
          <w:bCs/>
          <w:lang w:eastAsia="en-AU"/>
        </w:rPr>
        <w:t xml:space="preserve"> </w:t>
      </w:r>
      <w:r w:rsidRPr="00A5381D">
        <w:rPr>
          <w:rFonts w:eastAsia="Times New Roman" w:cs="Arial"/>
          <w:lang w:eastAsia="en-AU"/>
        </w:rPr>
        <w:t>reinforce the significance of working mathematically with the content and describe how the content is explored or developed.</w:t>
      </w:r>
    </w:p>
    <w:p w14:paraId="5C25BCDC" w14:textId="39F219C3" w:rsidR="007A14D0" w:rsidRPr="001F11B0" w:rsidRDefault="00DE3F8C" w:rsidP="00DE3F8C">
      <w:r w:rsidRPr="00A5381D">
        <w:rPr>
          <w:rFonts w:eastAsia="Times New Roman" w:cs="Arial"/>
          <w:lang w:eastAsia="en-AU"/>
        </w:rPr>
        <w:t xml:space="preserve">In Year 6, </w:t>
      </w:r>
      <w:r w:rsidRPr="00A5381D">
        <w:rPr>
          <w:rFonts w:cs="Arial"/>
        </w:rPr>
        <w:t>students consolidate their understanding of the number system, expanding their repertoire of numbers to include integers, square, prime and composite numbers. They apply this understanding to calculate and model real-world problems efficiently and interpret and communicate findings. Students explore the Cartesian plane</w:t>
      </w:r>
      <w:r w:rsidR="0021739E">
        <w:rPr>
          <w:rFonts w:cs="Arial"/>
        </w:rPr>
        <w:t>,</w:t>
      </w:r>
      <w:r w:rsidRPr="00A5381D">
        <w:rPr>
          <w:rFonts w:cs="Arial"/>
        </w:rPr>
        <w:t xml:space="preserve"> describe a sequence of steps to determine the area of rectangles and volume of rectangular prisms</w:t>
      </w:r>
      <w:r w:rsidR="000A63CD">
        <w:rPr>
          <w:rFonts w:cs="Arial"/>
        </w:rPr>
        <w:t xml:space="preserve"> and convert between units of measurement, connecting metric units to the decimal system</w:t>
      </w:r>
      <w:r w:rsidRPr="00A5381D">
        <w:rPr>
          <w:rFonts w:cs="Arial"/>
        </w:rPr>
        <w:t xml:space="preserve">. They </w:t>
      </w:r>
      <w:r w:rsidR="008B00AB">
        <w:rPr>
          <w:rFonts w:cs="Arial"/>
        </w:rPr>
        <w:t xml:space="preserve">represent probabilities numerically and </w:t>
      </w:r>
      <w:r w:rsidRPr="00A5381D">
        <w:rPr>
          <w:rFonts w:cs="Arial"/>
        </w:rPr>
        <w:t>conduct repeated chance experiments and simulations, compar</w:t>
      </w:r>
      <w:r w:rsidR="008B00AB">
        <w:rPr>
          <w:rFonts w:cs="Arial"/>
        </w:rPr>
        <w:t>ing</w:t>
      </w:r>
      <w:r w:rsidRPr="00A5381D">
        <w:rPr>
          <w:rFonts w:cs="Arial"/>
        </w:rPr>
        <w:t xml:space="preserve"> expected and observed frequencies. Students interpret data displays</w:t>
      </w:r>
      <w:r w:rsidR="008B00AB">
        <w:rPr>
          <w:rFonts w:cs="Arial"/>
        </w:rPr>
        <w:t>, including side-by-side column graphs using</w:t>
      </w:r>
      <w:r w:rsidRPr="00A5381D">
        <w:rPr>
          <w:rFonts w:cs="Arial"/>
        </w:rPr>
        <w:t xml:space="preserve"> mode, range and shape, and </w:t>
      </w:r>
      <w:r w:rsidR="008B00AB">
        <w:rPr>
          <w:rFonts w:cs="Arial"/>
        </w:rPr>
        <w:t>they describe how features of displays may influence an audience</w:t>
      </w:r>
      <w:r w:rsidRPr="00A5381D">
        <w:rPr>
          <w:rFonts w:cs="Arial"/>
        </w:rPr>
        <w:t>.</w:t>
      </w:r>
      <w:r w:rsidR="007A14D0">
        <w:rPr>
          <w:szCs w:val="24"/>
        </w:rPr>
        <w:br w:type="page"/>
      </w:r>
    </w:p>
    <w:p w14:paraId="2ECB1CCA" w14:textId="3211D2B4" w:rsidR="007A14D0" w:rsidRPr="00D762E2" w:rsidRDefault="007A14D0" w:rsidP="007A14D0">
      <w:pPr>
        <w:pStyle w:val="SCSAHeading1"/>
      </w:pPr>
      <w:bookmarkStart w:id="21" w:name="_Toc184895271"/>
      <w:r w:rsidRPr="00D762E2">
        <w:lastRenderedPageBreak/>
        <w:t xml:space="preserve">Year </w:t>
      </w:r>
      <w:r>
        <w:t>7</w:t>
      </w:r>
      <w:bookmarkEnd w:id="21"/>
    </w:p>
    <w:p w14:paraId="5DA53E9D" w14:textId="77777777" w:rsidR="00DE3F8C" w:rsidRPr="00A5381D" w:rsidRDefault="00DE3F8C" w:rsidP="00DE3F8C">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6036738" w14:textId="361FCA57" w:rsidR="00DE3F8C" w:rsidRPr="00A5381D" w:rsidRDefault="00DE3F8C" w:rsidP="00DE3F8C">
      <w:pPr>
        <w:rPr>
          <w:rFonts w:cs="Arial"/>
        </w:rPr>
      </w:pPr>
      <w:r w:rsidRPr="00A5381D">
        <w:rPr>
          <w:rFonts w:cs="Arial"/>
        </w:rPr>
        <w:t>Mathematics provides opportunities for students to engage with concrete materials, extending to abstract thinking in a range of approaches to learning through the proficiency strands of Understanding, Fluency, Problem-solving and Reasoning. These reinforce the significance of working mathematically with the content and describe how the content is explored or developed. Students draw on the behaviours of the proficiencies when selecting and using year level content to apply the complete modelling process, leading to an increased understanding of the complexity of the natural environment, society and technology.</w:t>
      </w:r>
    </w:p>
    <w:p w14:paraId="094D0F46" w14:textId="5635808F" w:rsidR="00DE3F8C" w:rsidRPr="00A5381D" w:rsidRDefault="00DE3F8C" w:rsidP="00DE3F8C">
      <w:pPr>
        <w:rPr>
          <w:rFonts w:cs="Arial"/>
        </w:rPr>
      </w:pPr>
      <w:r w:rsidRPr="00A5381D">
        <w:rPr>
          <w:rFonts w:cs="Arial"/>
        </w:rPr>
        <w:t>In Year 7, students explore and investigate to understand, calculate flexibly and efficiently, and model with a broadening range of numbers, including adding and subtracting with integers.</w:t>
      </w:r>
      <w:r w:rsidR="008F0EBE">
        <w:rPr>
          <w:rFonts w:cs="Arial"/>
        </w:rPr>
        <w:t xml:space="preserve"> </w:t>
      </w:r>
      <w:r w:rsidRPr="00A5381D">
        <w:rPr>
          <w:rFonts w:cs="Arial"/>
        </w:rPr>
        <w:t>As they transition into efficient multiplicative thinkers, students interpret proportional situations. They develop their abstract thinking through the introduction of algebra.</w:t>
      </w:r>
    </w:p>
    <w:p w14:paraId="1EFA1545" w14:textId="425F47A0" w:rsidR="003A65C1" w:rsidRPr="003A65C1" w:rsidRDefault="00DE3F8C" w:rsidP="00DE3F8C">
      <w:pPr>
        <w:rPr>
          <w:rFonts w:cs="Arial"/>
        </w:rPr>
      </w:pPr>
      <w:r w:rsidRPr="003A65C1">
        <w:rPr>
          <w:rFonts w:cs="Arial"/>
        </w:rPr>
        <w:t>Students begin to formalise the language of Mathematics by applying mathematical notation, conventions and naming principles in both geometric and measurement situations</w:t>
      </w:r>
      <w:r w:rsidR="00EB039F">
        <w:rPr>
          <w:rFonts w:cs="Arial"/>
        </w:rPr>
        <w:t>.</w:t>
      </w:r>
      <w:r w:rsidRPr="00EB039F">
        <w:rPr>
          <w:rFonts w:cs="Arial"/>
        </w:rPr>
        <w:t xml:space="preserve"> </w:t>
      </w:r>
      <w:r w:rsidR="00596C8E">
        <w:rPr>
          <w:rFonts w:cs="Arial"/>
        </w:rPr>
        <w:t xml:space="preserve">They </w:t>
      </w:r>
      <w:r w:rsidRPr="003A65C1">
        <w:rPr>
          <w:rFonts w:cs="Arial"/>
        </w:rPr>
        <w:t>reason</w:t>
      </w:r>
      <w:r w:rsidR="00596C8E">
        <w:rPr>
          <w:rFonts w:cs="Arial"/>
        </w:rPr>
        <w:t xml:space="preserve"> </w:t>
      </w:r>
      <w:r w:rsidRPr="003A65C1">
        <w:rPr>
          <w:rFonts w:cs="Arial"/>
        </w:rPr>
        <w:t>with parallel li</w:t>
      </w:r>
      <w:r w:rsidRPr="00EB039F">
        <w:rPr>
          <w:rFonts w:cs="Arial"/>
        </w:rPr>
        <w:t>nes</w:t>
      </w:r>
      <w:r w:rsidR="00EB039F" w:rsidRPr="00EB039F">
        <w:rPr>
          <w:rFonts w:cs="Arial"/>
        </w:rPr>
        <w:t>,</w:t>
      </w:r>
      <w:r w:rsidR="007412B7" w:rsidRPr="00EB039F">
        <w:rPr>
          <w:rFonts w:cs="Arial"/>
        </w:rPr>
        <w:t xml:space="preserve"> </w:t>
      </w:r>
      <w:r w:rsidRPr="00EB039F">
        <w:rPr>
          <w:rFonts w:cs="Arial"/>
        </w:rPr>
        <w:t xml:space="preserve">perform </w:t>
      </w:r>
      <w:r w:rsidRPr="003A65C1">
        <w:rPr>
          <w:rFonts w:cs="Arial"/>
        </w:rPr>
        <w:t>transformations of points on the Cartesian plane</w:t>
      </w:r>
      <w:r w:rsidR="00EB039F">
        <w:rPr>
          <w:rFonts w:cs="Arial"/>
        </w:rPr>
        <w:t>,</w:t>
      </w:r>
      <w:r w:rsidR="007412B7">
        <w:rPr>
          <w:rFonts w:cs="Arial"/>
        </w:rPr>
        <w:t xml:space="preserve"> </w:t>
      </w:r>
      <w:r w:rsidR="003A65C1" w:rsidRPr="00EB039F">
        <w:rPr>
          <w:rFonts w:cs="Arial"/>
        </w:rPr>
        <w:t>classify</w:t>
      </w:r>
      <w:r w:rsidR="00596C8E">
        <w:rPr>
          <w:rFonts w:cs="Arial"/>
        </w:rPr>
        <w:t xml:space="preserve"> t</w:t>
      </w:r>
      <w:r w:rsidR="003A65C1" w:rsidRPr="00EB039F">
        <w:rPr>
          <w:rFonts w:cs="Arial"/>
        </w:rPr>
        <w:t xml:space="preserve">riangles and </w:t>
      </w:r>
      <w:r w:rsidR="002C7F4C">
        <w:rPr>
          <w:rFonts w:cs="Arial"/>
        </w:rPr>
        <w:t>explore time</w:t>
      </w:r>
      <w:r w:rsidR="002B2083">
        <w:rPr>
          <w:rFonts w:cs="Arial"/>
        </w:rPr>
        <w:t xml:space="preserve"> </w:t>
      </w:r>
      <w:r w:rsidR="002C7F4C">
        <w:rPr>
          <w:rFonts w:cs="Arial"/>
        </w:rPr>
        <w:t xml:space="preserve">zones within Australia. Students </w:t>
      </w:r>
      <w:r w:rsidRPr="00EB039F">
        <w:rPr>
          <w:rFonts w:cs="Arial"/>
        </w:rPr>
        <w:t>generalis</w:t>
      </w:r>
      <w:r w:rsidR="00596C8E">
        <w:rPr>
          <w:rFonts w:cs="Arial"/>
        </w:rPr>
        <w:t>e</w:t>
      </w:r>
      <w:r w:rsidRPr="00EB039F">
        <w:rPr>
          <w:rFonts w:cs="Arial"/>
        </w:rPr>
        <w:t xml:space="preserve"> their understanding of perimeter, area and volume into formulas for efficient calculation.</w:t>
      </w:r>
      <w:r w:rsidR="003A65C1" w:rsidRPr="003A65C1">
        <w:rPr>
          <w:rFonts w:cs="Arial"/>
        </w:rPr>
        <w:t xml:space="preserve"> </w:t>
      </w:r>
    </w:p>
    <w:p w14:paraId="1F6C75B2" w14:textId="4F24FE12" w:rsidR="007A14D0" w:rsidRDefault="00DE3F8C" w:rsidP="00DE3F8C">
      <w:pPr>
        <w:rPr>
          <w:lang w:eastAsia="en-AU" w:bidi="ar-SA"/>
        </w:rPr>
      </w:pPr>
      <w:r w:rsidRPr="00A5381D">
        <w:rPr>
          <w:rFonts w:cs="Arial"/>
        </w:rPr>
        <w:t>Students formalise their understanding of probability through definitions and the construction of simple sample spaces. They connect probability and statistics by engaging in single</w:t>
      </w:r>
      <w:r w:rsidR="0021739E">
        <w:rPr>
          <w:rFonts w:cs="Arial"/>
        </w:rPr>
        <w:noBreakHyphen/>
      </w:r>
      <w:r w:rsidRPr="00A5381D">
        <w:rPr>
          <w:rFonts w:cs="Arial"/>
        </w:rPr>
        <w:t>stage chance experiments and simulations, us</w:t>
      </w:r>
      <w:r w:rsidR="00596C8E">
        <w:rPr>
          <w:rFonts w:cs="Arial"/>
        </w:rPr>
        <w:t xml:space="preserve">e </w:t>
      </w:r>
      <w:r w:rsidRPr="00A5381D">
        <w:rPr>
          <w:rFonts w:cs="Arial"/>
        </w:rPr>
        <w:t>summary statistics</w:t>
      </w:r>
      <w:r w:rsidR="007A7378">
        <w:rPr>
          <w:rFonts w:cs="Arial"/>
        </w:rPr>
        <w:t>,</w:t>
      </w:r>
      <w:r w:rsidRPr="00A5381D">
        <w:rPr>
          <w:rFonts w:cs="Arial"/>
        </w:rPr>
        <w:t xml:space="preserve"> and </w:t>
      </w:r>
      <w:r w:rsidR="005D5E24" w:rsidRPr="00A5381D">
        <w:rPr>
          <w:rFonts w:cs="Arial"/>
        </w:rPr>
        <w:t>represent</w:t>
      </w:r>
      <w:r w:rsidR="005D5E24">
        <w:rPr>
          <w:rFonts w:cs="Arial"/>
        </w:rPr>
        <w:t xml:space="preserve">, </w:t>
      </w:r>
      <w:r w:rsidR="005D5E24" w:rsidRPr="00A5381D">
        <w:rPr>
          <w:rFonts w:cs="Arial"/>
        </w:rPr>
        <w:t>analyse</w:t>
      </w:r>
      <w:r w:rsidR="00596C8E">
        <w:rPr>
          <w:rFonts w:cs="Arial"/>
        </w:rPr>
        <w:t xml:space="preserve"> </w:t>
      </w:r>
      <w:r w:rsidRPr="00A5381D">
        <w:rPr>
          <w:rFonts w:cs="Arial"/>
        </w:rPr>
        <w:t>and critiqu</w:t>
      </w:r>
      <w:r w:rsidR="00596C8E">
        <w:rPr>
          <w:rFonts w:cs="Arial"/>
        </w:rPr>
        <w:t xml:space="preserve">e </w:t>
      </w:r>
      <w:r w:rsidRPr="00A5381D">
        <w:rPr>
          <w:rFonts w:cs="Arial"/>
        </w:rPr>
        <w:t>data.</w:t>
      </w:r>
      <w:r w:rsidR="007A14D0">
        <w:rPr>
          <w:lang w:eastAsia="en-AU" w:bidi="ar-SA"/>
        </w:rPr>
        <w:br w:type="page"/>
      </w:r>
    </w:p>
    <w:p w14:paraId="699D30B1" w14:textId="06E64D3E" w:rsidR="007A14D0" w:rsidRPr="004F5C6E" w:rsidRDefault="007A14D0" w:rsidP="007A14D0">
      <w:pPr>
        <w:pStyle w:val="SCSAHeading1"/>
      </w:pPr>
      <w:bookmarkStart w:id="22" w:name="_Toc184895272"/>
      <w:r w:rsidRPr="004F5C6E">
        <w:lastRenderedPageBreak/>
        <w:t>Year 8</w:t>
      </w:r>
      <w:bookmarkEnd w:id="22"/>
    </w:p>
    <w:p w14:paraId="34A76D8F" w14:textId="77777777" w:rsidR="00DE3F8C" w:rsidRPr="00465073" w:rsidRDefault="00DE3F8C" w:rsidP="00DE3F8C">
      <w:pPr>
        <w:rPr>
          <w:rFonts w:cs="Arial"/>
        </w:rPr>
      </w:pPr>
      <w:r w:rsidRPr="00465073">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54108BCD" w14:textId="77777777" w:rsidR="00DE3F8C" w:rsidRPr="00465073" w:rsidRDefault="00DE3F8C" w:rsidP="00DE3F8C">
      <w:pPr>
        <w:rPr>
          <w:rFonts w:cs="Arial"/>
        </w:rPr>
      </w:pPr>
      <w:r w:rsidRPr="00465073">
        <w:rPr>
          <w:rFonts w:cs="Arial"/>
        </w:rPr>
        <w:t>Mathematics provides opportunities for students to engage in a range of approaches to learning through the proficiency strands of Understanding, Fluency, Problem-solving and Reasoning. These reinforce the significance of working mathematically with the content and describe how the content is explored or developed. Students draw on the behaviours of the proficiencies when selecting and using year level content to apply the complete modelling process, leading to an increased understanding of the complexity of the natural environment, society and technology.</w:t>
      </w:r>
    </w:p>
    <w:p w14:paraId="61E6B12F" w14:textId="015A75A3" w:rsidR="00DE3F8C" w:rsidRPr="00465073" w:rsidRDefault="00DE3F8C" w:rsidP="00DE3F8C">
      <w:pPr>
        <w:rPr>
          <w:rFonts w:cs="Arial"/>
        </w:rPr>
      </w:pPr>
      <w:r w:rsidRPr="00465073">
        <w:rPr>
          <w:rFonts w:cs="Arial"/>
        </w:rPr>
        <w:t>In Year 8, students explore and investigate to understand, calculate flexibly and efficiently, and model with a broadening range of numbers that includes rational and irrational numbers. As they develop efficiency in multiplicative thinking, they apply and interpret proportional reasoning in fractions,</w:t>
      </w:r>
      <w:r w:rsidR="008E6082" w:rsidRPr="00465073">
        <w:rPr>
          <w:rFonts w:cs="Arial"/>
        </w:rPr>
        <w:t xml:space="preserve"> percentages,</w:t>
      </w:r>
      <w:r w:rsidRPr="00465073">
        <w:rPr>
          <w:rFonts w:cs="Arial"/>
        </w:rPr>
        <w:t xml:space="preserve"> ratios and rates. Students’ abstract thinking develops further as they apply their understanding of the laws and properties of operations with number to algebra.</w:t>
      </w:r>
    </w:p>
    <w:p w14:paraId="26C724E0" w14:textId="34EE63C8" w:rsidR="00DE3F8C" w:rsidRPr="00465073" w:rsidRDefault="00DE3F8C" w:rsidP="00DE3F8C">
      <w:pPr>
        <w:rPr>
          <w:rFonts w:cs="Arial"/>
          <w:color w:val="000000" w:themeColor="text1"/>
        </w:rPr>
      </w:pPr>
      <w:r w:rsidRPr="00465073">
        <w:rPr>
          <w:rFonts w:cs="Arial"/>
          <w:color w:val="000000" w:themeColor="text1"/>
        </w:rPr>
        <w:t>Students use the language of Mathematics</w:t>
      </w:r>
      <w:r w:rsidR="00A21CFF" w:rsidRPr="00465073">
        <w:rPr>
          <w:rFonts w:cs="Arial"/>
          <w:color w:val="000000" w:themeColor="text1"/>
        </w:rPr>
        <w:t xml:space="preserve"> in both geometric and measurement situations</w:t>
      </w:r>
      <w:r w:rsidR="00456EC0" w:rsidRPr="00465073">
        <w:rPr>
          <w:rFonts w:cs="Arial"/>
          <w:color w:val="000000" w:themeColor="text1"/>
        </w:rPr>
        <w:t xml:space="preserve">, </w:t>
      </w:r>
      <w:r w:rsidR="00A21CFF" w:rsidRPr="00465073">
        <w:rPr>
          <w:rFonts w:cs="Arial"/>
          <w:color w:val="000000" w:themeColor="text1"/>
        </w:rPr>
        <w:t xml:space="preserve">applying </w:t>
      </w:r>
      <w:r w:rsidRPr="00465073">
        <w:rPr>
          <w:rFonts w:cs="Arial"/>
          <w:color w:val="000000" w:themeColor="text1"/>
        </w:rPr>
        <w:t>reasoning to establish congruency of figures</w:t>
      </w:r>
      <w:r w:rsidR="00456EC0" w:rsidRPr="00465073">
        <w:rPr>
          <w:rFonts w:cs="Arial"/>
          <w:color w:val="000000" w:themeColor="text1"/>
        </w:rPr>
        <w:t xml:space="preserve">, </w:t>
      </w:r>
      <w:r w:rsidR="00DC0797" w:rsidRPr="00465073">
        <w:rPr>
          <w:rFonts w:cs="Arial"/>
          <w:color w:val="000000" w:themeColor="text1"/>
        </w:rPr>
        <w:t>interpret representations of international time</w:t>
      </w:r>
      <w:r w:rsidR="002C60B8">
        <w:rPr>
          <w:rFonts w:cs="Arial"/>
          <w:color w:val="000000" w:themeColor="text1"/>
        </w:rPr>
        <w:t xml:space="preserve"> </w:t>
      </w:r>
      <w:r w:rsidR="005D5E24" w:rsidRPr="00465073">
        <w:rPr>
          <w:rFonts w:cs="Arial"/>
          <w:color w:val="000000" w:themeColor="text1"/>
        </w:rPr>
        <w:t>zones, explore</w:t>
      </w:r>
      <w:r w:rsidRPr="00465073">
        <w:rPr>
          <w:rFonts w:cs="Arial"/>
          <w:color w:val="000000" w:themeColor="text1"/>
        </w:rPr>
        <w:t xml:space="preserve"> </w:t>
      </w:r>
      <w:r w:rsidR="00456EC0" w:rsidRPr="00465073">
        <w:rPr>
          <w:rFonts w:cs="Arial"/>
          <w:color w:val="000000" w:themeColor="text1"/>
        </w:rPr>
        <w:t xml:space="preserve">circles </w:t>
      </w:r>
      <w:r w:rsidRPr="00465073">
        <w:rPr>
          <w:rFonts w:cs="Arial"/>
          <w:color w:val="000000" w:themeColor="text1"/>
        </w:rPr>
        <w:t>and use Pythagoras’ theorem</w:t>
      </w:r>
      <w:r w:rsidR="00A21CFF" w:rsidRPr="00465073">
        <w:rPr>
          <w:rFonts w:cs="Arial"/>
          <w:color w:val="000000" w:themeColor="text1"/>
        </w:rPr>
        <w:t xml:space="preserve">. </w:t>
      </w:r>
      <w:r w:rsidRPr="00465073">
        <w:rPr>
          <w:rFonts w:cs="Arial"/>
          <w:color w:val="000000" w:themeColor="text1"/>
        </w:rPr>
        <w:t xml:space="preserve">They </w:t>
      </w:r>
      <w:r w:rsidR="00A21CFF" w:rsidRPr="00465073">
        <w:rPr>
          <w:rFonts w:cs="Arial"/>
          <w:color w:val="000000" w:themeColor="text1"/>
        </w:rPr>
        <w:t xml:space="preserve">apply their </w:t>
      </w:r>
      <w:r w:rsidRPr="00465073">
        <w:rPr>
          <w:rFonts w:cs="Arial"/>
          <w:color w:val="000000" w:themeColor="text1"/>
        </w:rPr>
        <w:t xml:space="preserve">understanding of </w:t>
      </w:r>
      <w:r w:rsidR="00456EC0" w:rsidRPr="00465073">
        <w:rPr>
          <w:rFonts w:cs="Arial"/>
          <w:color w:val="000000" w:themeColor="text1"/>
        </w:rPr>
        <w:t xml:space="preserve">the properties of </w:t>
      </w:r>
      <w:r w:rsidR="00A21CFF" w:rsidRPr="00465073">
        <w:rPr>
          <w:rFonts w:cs="Arial"/>
          <w:color w:val="000000" w:themeColor="text1"/>
        </w:rPr>
        <w:t>quadrilateral</w:t>
      </w:r>
      <w:r w:rsidR="00456EC0" w:rsidRPr="00465073">
        <w:rPr>
          <w:rFonts w:cs="Arial"/>
          <w:color w:val="000000" w:themeColor="text1"/>
        </w:rPr>
        <w:t xml:space="preserve">s to </w:t>
      </w:r>
      <w:r w:rsidR="00A21CFF" w:rsidRPr="00465073">
        <w:rPr>
          <w:rFonts w:cs="Arial"/>
          <w:color w:val="000000" w:themeColor="text1"/>
        </w:rPr>
        <w:t xml:space="preserve">find </w:t>
      </w:r>
      <w:r w:rsidR="00456EC0" w:rsidRPr="00465073">
        <w:rPr>
          <w:rFonts w:cs="Arial"/>
          <w:color w:val="000000" w:themeColor="text1"/>
        </w:rPr>
        <w:t xml:space="preserve">the </w:t>
      </w:r>
      <w:r w:rsidRPr="00465073">
        <w:rPr>
          <w:rFonts w:cs="Arial"/>
          <w:color w:val="000000" w:themeColor="text1"/>
        </w:rPr>
        <w:t xml:space="preserve">perimeter and area and </w:t>
      </w:r>
      <w:r w:rsidR="00A21CFF" w:rsidRPr="00465073">
        <w:rPr>
          <w:rFonts w:cs="Arial"/>
          <w:color w:val="000000" w:themeColor="text1"/>
        </w:rPr>
        <w:t xml:space="preserve">generalise </w:t>
      </w:r>
      <w:r w:rsidRPr="00465073">
        <w:rPr>
          <w:rFonts w:cs="Arial"/>
          <w:color w:val="000000" w:themeColor="text1"/>
        </w:rPr>
        <w:t>volume of right prisms into formulas for efficient calculation.</w:t>
      </w:r>
    </w:p>
    <w:p w14:paraId="70F6DDFD" w14:textId="6FEAB2D3" w:rsidR="00FB1373" w:rsidRPr="00465073" w:rsidRDefault="00DE3F8C" w:rsidP="00DE3F8C">
      <w:r w:rsidRPr="00465073">
        <w:rPr>
          <w:rFonts w:cs="Arial"/>
        </w:rPr>
        <w:t xml:space="preserve">Students </w:t>
      </w:r>
      <w:r w:rsidR="00B80C12" w:rsidRPr="00465073">
        <w:rPr>
          <w:rFonts w:cs="Arial"/>
        </w:rPr>
        <w:t xml:space="preserve">extend </w:t>
      </w:r>
      <w:r w:rsidRPr="00465073">
        <w:rPr>
          <w:rFonts w:cs="Arial"/>
        </w:rPr>
        <w:t xml:space="preserve">their understanding of probability </w:t>
      </w:r>
      <w:r w:rsidR="00B80C12" w:rsidRPr="00465073">
        <w:rPr>
          <w:rFonts w:cs="Arial"/>
        </w:rPr>
        <w:t xml:space="preserve">to recognise </w:t>
      </w:r>
      <w:r w:rsidRPr="00465073">
        <w:rPr>
          <w:rFonts w:cs="Arial"/>
        </w:rPr>
        <w:t xml:space="preserve">complementary events and construct sample spaces for two </w:t>
      </w:r>
      <w:r w:rsidRPr="00465073">
        <w:rPr>
          <w:rFonts w:cs="Arial"/>
          <w:color w:val="000000" w:themeColor="text1"/>
        </w:rPr>
        <w:t>events. They connect probability and statistics by engaging in chance experiments and simulations</w:t>
      </w:r>
      <w:r w:rsidR="007A7378" w:rsidRPr="00465073">
        <w:rPr>
          <w:rFonts w:cs="Arial"/>
          <w:color w:val="000000" w:themeColor="text1"/>
        </w:rPr>
        <w:t xml:space="preserve"> </w:t>
      </w:r>
      <w:r w:rsidR="00B80C12" w:rsidRPr="00465073">
        <w:rPr>
          <w:rFonts w:cs="Arial"/>
          <w:color w:val="000000" w:themeColor="text1"/>
        </w:rPr>
        <w:t xml:space="preserve">for </w:t>
      </w:r>
      <w:r w:rsidR="007A7378" w:rsidRPr="00465073">
        <w:rPr>
          <w:rFonts w:cs="Arial"/>
          <w:color w:val="000000" w:themeColor="text1"/>
        </w:rPr>
        <w:t xml:space="preserve">simple </w:t>
      </w:r>
      <w:r w:rsidR="00B80C12" w:rsidRPr="00465073">
        <w:rPr>
          <w:rFonts w:cs="Arial"/>
          <w:color w:val="000000" w:themeColor="text1"/>
        </w:rPr>
        <w:t xml:space="preserve">and </w:t>
      </w:r>
      <w:r w:rsidR="007A7378" w:rsidRPr="00465073">
        <w:rPr>
          <w:rFonts w:cs="Arial"/>
          <w:color w:val="000000" w:themeColor="text1"/>
        </w:rPr>
        <w:t>compound events</w:t>
      </w:r>
      <w:r w:rsidRPr="00465073">
        <w:rPr>
          <w:rFonts w:cs="Arial"/>
          <w:color w:val="000000" w:themeColor="text1"/>
        </w:rPr>
        <w:t>. Students critically analyse graphs and tables and extract data from these representations to determine summary statistics. They investigate and explain techniques for data collection and compare variation between samples of data.</w:t>
      </w:r>
    </w:p>
    <w:p w14:paraId="18D6202E" w14:textId="409A0D23" w:rsidR="007A14D0" w:rsidRPr="00465073" w:rsidRDefault="007A14D0" w:rsidP="001F11B0">
      <w:r w:rsidRPr="00465073">
        <w:rPr>
          <w:lang w:eastAsia="en-AU" w:bidi="ar-SA"/>
        </w:rPr>
        <w:br w:type="page"/>
      </w:r>
    </w:p>
    <w:p w14:paraId="31DA16E0" w14:textId="2E969130" w:rsidR="007A14D0" w:rsidRPr="004F5C6E" w:rsidRDefault="007A14D0" w:rsidP="007A14D0">
      <w:pPr>
        <w:pStyle w:val="SCSAHeading1"/>
      </w:pPr>
      <w:bookmarkStart w:id="23" w:name="_Toc184895273"/>
      <w:r w:rsidRPr="004F5C6E">
        <w:lastRenderedPageBreak/>
        <w:t>Year 9</w:t>
      </w:r>
      <w:bookmarkEnd w:id="23"/>
    </w:p>
    <w:p w14:paraId="0112555C" w14:textId="77777777" w:rsidR="00DE3F8C" w:rsidRPr="00465073" w:rsidRDefault="00DE3F8C" w:rsidP="00DE3F8C">
      <w:pPr>
        <w:keepLines/>
        <w:shd w:val="clear" w:color="auto" w:fill="FEFEFE"/>
        <w:rPr>
          <w:rFonts w:eastAsia="Times New Roman" w:cs="Arial"/>
          <w:lang w:eastAsia="en-AU"/>
        </w:rPr>
      </w:pPr>
      <w:r w:rsidRPr="00465073">
        <w:rPr>
          <w:rFonts w:eastAsia="Times New Roman" w:cs="Arial"/>
          <w:lang w:eastAsia="en-AU"/>
        </w:rPr>
        <w:t>In the middle adolescence phase of schooling, teaching and learning programs encourage students to develop an open and questioning view of themselves as active participants in their society and the world.</w:t>
      </w:r>
    </w:p>
    <w:p w14:paraId="2DC0B933" w14:textId="77777777" w:rsidR="00DE3F8C" w:rsidRPr="00465073" w:rsidRDefault="00DE3F8C" w:rsidP="00DE3F8C">
      <w:pPr>
        <w:keepLines/>
        <w:shd w:val="clear" w:color="auto" w:fill="FEFEFE"/>
        <w:rPr>
          <w:rFonts w:cs="Arial"/>
        </w:rPr>
      </w:pPr>
      <w:r w:rsidRPr="00465073">
        <w:rPr>
          <w:rFonts w:eastAsia="Times New Roman" w:cs="Arial"/>
          <w:lang w:eastAsia="en-AU"/>
        </w:rPr>
        <w:t>Mathematics provides opportunities for students to engage</w:t>
      </w:r>
      <w:r w:rsidRPr="00465073">
        <w:rPr>
          <w:rFonts w:cs="Arial"/>
        </w:rPr>
        <w:t xml:space="preserve"> in a range of approaches to learning through the proficiency strands of Understanding, Fluency, Problem-solving and Reasoning. These reinforce the significance of working mathematically with the content and describe how the content is explored or developed. Students draw on the</w:t>
      </w:r>
      <w:r w:rsidRPr="00465073">
        <w:rPr>
          <w:rFonts w:eastAsia="Times New Roman" w:cs="Arial"/>
          <w:lang w:eastAsia="en-AU"/>
        </w:rPr>
        <w:t xml:space="preserve"> behaviours of the proficiencies when selecting and using year level content to apply the complete modelling process,</w:t>
      </w:r>
      <w:r w:rsidRPr="00465073">
        <w:rPr>
          <w:rFonts w:cs="Arial"/>
        </w:rPr>
        <w:t xml:space="preserve"> leading to an increased understanding of the complexity of the natural environment, society and technology.</w:t>
      </w:r>
    </w:p>
    <w:p w14:paraId="38382E0C" w14:textId="54FFF3B7" w:rsidR="00DE3F8C" w:rsidRPr="00465073" w:rsidRDefault="00DE3F8C" w:rsidP="00DE3F8C">
      <w:pPr>
        <w:keepLines/>
        <w:shd w:val="clear" w:color="auto" w:fill="FEFEFE"/>
        <w:rPr>
          <w:rFonts w:eastAsia="Times New Roman" w:cs="Arial"/>
          <w:lang w:eastAsia="en-AU"/>
        </w:rPr>
      </w:pPr>
      <w:r w:rsidRPr="00465073">
        <w:rPr>
          <w:rFonts w:cs="Arial"/>
        </w:rPr>
        <w:t>In Year 9, students explore and investigate to understand, calculate flexibly and efficiently, and model with real numbers, writing solutions in exact or approximated form. They engage with financial mathematics by calculating simple interest and exploring ways in which people earn money. They work flexibly, both algebraically and graphically with linear equations, developing a</w:t>
      </w:r>
      <w:r w:rsidR="008E6082" w:rsidRPr="00465073">
        <w:rPr>
          <w:rFonts w:cs="Arial"/>
        </w:rPr>
        <w:t xml:space="preserve">n </w:t>
      </w:r>
      <w:r w:rsidRPr="00465073">
        <w:rPr>
          <w:rFonts w:cs="Arial"/>
        </w:rPr>
        <w:t>understanding of gradient.</w:t>
      </w:r>
    </w:p>
    <w:p w14:paraId="0EB39CA8" w14:textId="26CE6EB7" w:rsidR="00DE3F8C" w:rsidRPr="00465073" w:rsidRDefault="00DE3F8C" w:rsidP="00DE3F8C">
      <w:pPr>
        <w:keepLines/>
        <w:rPr>
          <w:rFonts w:cs="Arial"/>
        </w:rPr>
      </w:pPr>
      <w:r w:rsidRPr="00465073">
        <w:rPr>
          <w:rFonts w:cs="Arial"/>
        </w:rPr>
        <w:t xml:space="preserve">Students explain and determine </w:t>
      </w:r>
      <w:r w:rsidRPr="00465073">
        <w:rPr>
          <w:rFonts w:cs="Arial"/>
          <w:color w:val="000000" w:themeColor="text1"/>
        </w:rPr>
        <w:t xml:space="preserve">perimeter and area of composite figures. </w:t>
      </w:r>
      <w:r w:rsidR="004F65D2">
        <w:rPr>
          <w:rFonts w:cs="Arial"/>
          <w:color w:val="000000" w:themeColor="text1"/>
        </w:rPr>
        <w:t xml:space="preserve">They apply Pythagoras’ theorem to solve perimeter and area problems. </w:t>
      </w:r>
      <w:r w:rsidRPr="00465073">
        <w:rPr>
          <w:rFonts w:cs="Arial"/>
          <w:color w:val="000000" w:themeColor="text1"/>
        </w:rPr>
        <w:t>Through construction</w:t>
      </w:r>
      <w:r w:rsidR="00110A93" w:rsidRPr="00465073">
        <w:rPr>
          <w:rFonts w:cs="Arial"/>
          <w:color w:val="000000" w:themeColor="text1"/>
        </w:rPr>
        <w:t xml:space="preserve">, </w:t>
      </w:r>
      <w:r w:rsidRPr="00465073">
        <w:rPr>
          <w:rFonts w:cs="Arial"/>
          <w:color w:val="000000" w:themeColor="text1"/>
        </w:rPr>
        <w:t>drawing</w:t>
      </w:r>
      <w:r w:rsidR="00110A93" w:rsidRPr="00465073">
        <w:rPr>
          <w:rFonts w:cs="Arial"/>
          <w:color w:val="000000" w:themeColor="text1"/>
        </w:rPr>
        <w:t xml:space="preserve"> and</w:t>
      </w:r>
      <w:r w:rsidRPr="00465073">
        <w:rPr>
          <w:rFonts w:cs="Arial"/>
          <w:color w:val="000000" w:themeColor="text1"/>
        </w:rPr>
        <w:t xml:space="preserve"> geometric reasoning</w:t>
      </w:r>
      <w:r w:rsidR="00110A93" w:rsidRPr="00465073">
        <w:rPr>
          <w:rFonts w:cs="Arial"/>
          <w:color w:val="000000" w:themeColor="text1"/>
        </w:rPr>
        <w:t xml:space="preserve">, students </w:t>
      </w:r>
      <w:r w:rsidRPr="00465073">
        <w:rPr>
          <w:rFonts w:cs="Arial"/>
          <w:color w:val="000000" w:themeColor="text1"/>
        </w:rPr>
        <w:t xml:space="preserve">establish conditions for congruent triangles, </w:t>
      </w:r>
      <w:r w:rsidR="009355E4">
        <w:rPr>
          <w:rFonts w:cs="Arial"/>
          <w:color w:val="000000" w:themeColor="text1"/>
        </w:rPr>
        <w:t xml:space="preserve">explore </w:t>
      </w:r>
      <w:r w:rsidRPr="00465073">
        <w:rPr>
          <w:rFonts w:cs="Arial"/>
          <w:color w:val="000000" w:themeColor="text1"/>
        </w:rPr>
        <w:t>properties of similar figures and</w:t>
      </w:r>
      <w:r w:rsidR="00845FB6">
        <w:rPr>
          <w:rFonts w:cs="Arial"/>
          <w:color w:val="000000" w:themeColor="text1"/>
        </w:rPr>
        <w:t xml:space="preserve"> develop</w:t>
      </w:r>
      <w:r w:rsidRPr="00465073">
        <w:rPr>
          <w:rFonts w:cs="Arial"/>
          <w:color w:val="000000" w:themeColor="text1"/>
        </w:rPr>
        <w:t xml:space="preserve"> the trigonometric ratios. Students extend their </w:t>
      </w:r>
      <w:r w:rsidR="00DF7246" w:rsidRPr="00465073">
        <w:rPr>
          <w:rFonts w:cs="Arial"/>
          <w:color w:val="000000" w:themeColor="text1"/>
        </w:rPr>
        <w:t>use of formula</w:t>
      </w:r>
      <w:r w:rsidRPr="00465073">
        <w:rPr>
          <w:rFonts w:cs="Arial"/>
          <w:color w:val="000000" w:themeColor="text1"/>
        </w:rPr>
        <w:t xml:space="preserve"> to include volume, capacity and surface area of right prisms and cylinders.</w:t>
      </w:r>
    </w:p>
    <w:p w14:paraId="22B86D5B" w14:textId="17BE3128" w:rsidR="00DE3F8C" w:rsidRPr="00465073" w:rsidRDefault="00110A93" w:rsidP="00DE3F8C">
      <w:pPr>
        <w:keepLines/>
        <w:rPr>
          <w:rFonts w:cs="Arial"/>
        </w:rPr>
      </w:pPr>
      <w:r w:rsidRPr="00465073">
        <w:rPr>
          <w:rFonts w:cs="Arial"/>
        </w:rPr>
        <w:t xml:space="preserve">Students </w:t>
      </w:r>
      <w:r w:rsidR="00DE3F8C" w:rsidRPr="00465073">
        <w:rPr>
          <w:rFonts w:cs="Arial"/>
        </w:rPr>
        <w:t xml:space="preserve">connect probability and statistics by </w:t>
      </w:r>
      <w:r w:rsidRPr="00465073">
        <w:rPr>
          <w:rFonts w:cs="Arial"/>
        </w:rPr>
        <w:t xml:space="preserve">collecting data from </w:t>
      </w:r>
      <w:r w:rsidR="00DE3F8C" w:rsidRPr="00465073">
        <w:rPr>
          <w:rFonts w:cs="Arial"/>
        </w:rPr>
        <w:t>experiments and simulations</w:t>
      </w:r>
      <w:r w:rsidRPr="00465073">
        <w:rPr>
          <w:rFonts w:cs="Arial"/>
        </w:rPr>
        <w:t xml:space="preserve"> related to two-stage chance experiments, both with and without replacement.</w:t>
      </w:r>
      <w:r w:rsidR="00DE3F8C" w:rsidRPr="00465073">
        <w:rPr>
          <w:rFonts w:cs="Arial"/>
        </w:rPr>
        <w:t xml:space="preserve"> </w:t>
      </w:r>
      <w:r w:rsidRPr="00465073">
        <w:rPr>
          <w:rFonts w:cs="Arial"/>
        </w:rPr>
        <w:t xml:space="preserve">They </w:t>
      </w:r>
      <w:r w:rsidR="00DE3F8C" w:rsidRPr="00465073">
        <w:rPr>
          <w:rFonts w:cs="Arial"/>
        </w:rPr>
        <w:t>analyse comparative graphs in context using statistical language</w:t>
      </w:r>
      <w:r w:rsidR="00C97BC5" w:rsidRPr="00465073">
        <w:rPr>
          <w:rFonts w:cs="Arial"/>
        </w:rPr>
        <w:t xml:space="preserve"> and </w:t>
      </w:r>
      <w:r w:rsidR="00DE3F8C" w:rsidRPr="00465073">
        <w:rPr>
          <w:rFonts w:cs="Arial"/>
        </w:rPr>
        <w:t>critically analyse statistical processes and claims made in the media</w:t>
      </w:r>
      <w:r w:rsidR="00C97BC5" w:rsidRPr="00465073">
        <w:rPr>
          <w:rFonts w:cs="Arial"/>
        </w:rPr>
        <w:t xml:space="preserve"> </w:t>
      </w:r>
      <w:r w:rsidR="00DE3F8C" w:rsidRPr="00465073">
        <w:rPr>
          <w:rFonts w:cs="Arial"/>
        </w:rPr>
        <w:t>that relate to data sampling.</w:t>
      </w:r>
    </w:p>
    <w:p w14:paraId="5C143BF1" w14:textId="1094FBD1" w:rsidR="007A14D0" w:rsidRPr="00465073" w:rsidRDefault="0021739E" w:rsidP="00DE3F8C">
      <w:r w:rsidRPr="00465073">
        <w:rPr>
          <w:rFonts w:eastAsia="Times New Roman" w:cs="Arial"/>
          <w:lang w:eastAsia="en-AU"/>
        </w:rPr>
        <w:t>Note: t</w:t>
      </w:r>
      <w:r w:rsidR="00DE3F8C" w:rsidRPr="00465073">
        <w:rPr>
          <w:rFonts w:eastAsia="Times New Roman" w:cs="Arial"/>
          <w:lang w:eastAsia="en-AU"/>
        </w:rPr>
        <w:t xml:space="preserve">he optional content in Year 9 is intended to build and extend students’ year level knowledge according to areas of interest, understanding of content and preparation for subsequent study. The content descriptions are optional. Teachers may choose from </w:t>
      </w:r>
      <w:r w:rsidR="00C97BC5" w:rsidRPr="00465073">
        <w:rPr>
          <w:rFonts w:eastAsia="Times New Roman" w:cs="Arial"/>
          <w:lang w:eastAsia="en-AU"/>
        </w:rPr>
        <w:t xml:space="preserve">optional </w:t>
      </w:r>
      <w:r w:rsidR="00DE3F8C" w:rsidRPr="00465073">
        <w:rPr>
          <w:rFonts w:eastAsia="Times New Roman" w:cs="Arial"/>
          <w:lang w:eastAsia="en-AU"/>
        </w:rPr>
        <w:t>content according to the needs of the student/s.</w:t>
      </w:r>
      <w:r w:rsidR="007A14D0" w:rsidRPr="00465073">
        <w:rPr>
          <w:lang w:eastAsia="en-AU" w:bidi="ar-SA"/>
        </w:rPr>
        <w:br w:type="page"/>
      </w:r>
    </w:p>
    <w:p w14:paraId="0D3E15B0" w14:textId="7713B969" w:rsidR="007A14D0" w:rsidRPr="00D762E2" w:rsidRDefault="007A14D0" w:rsidP="007A14D0">
      <w:pPr>
        <w:pStyle w:val="SCSAHeading1"/>
      </w:pPr>
      <w:bookmarkStart w:id="24" w:name="_Toc184895274"/>
      <w:r w:rsidRPr="00D762E2">
        <w:lastRenderedPageBreak/>
        <w:t xml:space="preserve">Year </w:t>
      </w:r>
      <w:r>
        <w:t>10</w:t>
      </w:r>
      <w:bookmarkEnd w:id="24"/>
    </w:p>
    <w:p w14:paraId="52CDF7BE" w14:textId="77777777" w:rsidR="00DE3F8C" w:rsidRPr="0007057E" w:rsidRDefault="00DE3F8C" w:rsidP="00DE3F8C">
      <w:pPr>
        <w:keepLines/>
        <w:shd w:val="clear" w:color="auto" w:fill="FEFEFE"/>
        <w:rPr>
          <w:rFonts w:eastAsia="Times New Roman" w:cs="Arial"/>
          <w:lang w:eastAsia="en-AU"/>
        </w:rPr>
      </w:pPr>
      <w:r w:rsidRPr="0007057E">
        <w:rPr>
          <w:rFonts w:eastAsia="Times New Roman" w:cs="Arial"/>
          <w:lang w:eastAsia="en-AU"/>
        </w:rPr>
        <w:t>In the middle adolescence phase of schooling, teaching and learning programs encourage students to develop an open and questioning view of themselves as active participants in their society and the world.</w:t>
      </w:r>
    </w:p>
    <w:p w14:paraId="7ACA2249" w14:textId="77777777" w:rsidR="00DE3F8C" w:rsidRPr="00465073" w:rsidRDefault="00DE3F8C" w:rsidP="00DE3F8C">
      <w:pPr>
        <w:keepLines/>
        <w:shd w:val="clear" w:color="auto" w:fill="FEFEFE"/>
        <w:rPr>
          <w:rFonts w:eastAsia="Times New Roman" w:cs="Arial"/>
          <w:color w:val="000000" w:themeColor="text1"/>
          <w:lang w:eastAsia="en-AU"/>
        </w:rPr>
      </w:pPr>
      <w:r w:rsidRPr="0007057E">
        <w:rPr>
          <w:rFonts w:eastAsia="Times New Roman" w:cs="Arial"/>
          <w:lang w:eastAsia="en-AU"/>
        </w:rPr>
        <w:t xml:space="preserve">The Mathematics curriculum provides opportunities for students to engage in a range of approaches to learning through the proficiency strands of Understanding, Fluency, Problem-solving and Reasoning. These reinforce the significance of working mathematically with the content and describe how the content is explored or developed. Students draw on the behaviours of the proficiencies when selecting and using year level content to apply the complete modelling process, leading to an increased </w:t>
      </w:r>
      <w:r w:rsidRPr="00465073">
        <w:rPr>
          <w:rFonts w:eastAsia="Times New Roman" w:cs="Arial"/>
          <w:color w:val="000000" w:themeColor="text1"/>
          <w:lang w:eastAsia="en-AU"/>
        </w:rPr>
        <w:t>understanding of the complexity of the natural environment, society and technology.</w:t>
      </w:r>
    </w:p>
    <w:p w14:paraId="0188D58C" w14:textId="74169DD7" w:rsidR="00DE3F8C" w:rsidRPr="004F65D2" w:rsidRDefault="00DE3F8C" w:rsidP="00DE3F8C">
      <w:pPr>
        <w:keepLines/>
        <w:shd w:val="clear" w:color="auto" w:fill="FEFEFE"/>
        <w:rPr>
          <w:rFonts w:eastAsia="Times New Roman" w:cs="Arial"/>
          <w:color w:val="000000" w:themeColor="text1"/>
          <w:lang w:eastAsia="en-AU"/>
        </w:rPr>
      </w:pPr>
      <w:r w:rsidRPr="00465073">
        <w:rPr>
          <w:rFonts w:eastAsia="Times New Roman" w:cs="Arial"/>
          <w:color w:val="000000" w:themeColor="text1"/>
          <w:lang w:eastAsia="en-AU"/>
        </w:rPr>
        <w:t xml:space="preserve">In Year 10, students further engage in financial mathematics by calculating and interpreting income tax and compound interest. They </w:t>
      </w:r>
      <w:r w:rsidRPr="009355E4">
        <w:rPr>
          <w:rFonts w:eastAsia="Times New Roman" w:cs="Arial"/>
          <w:color w:val="000000" w:themeColor="text1"/>
          <w:lang w:eastAsia="en-AU"/>
        </w:rPr>
        <w:t>explore the effect of error when using approximate rather than exact real values</w:t>
      </w:r>
      <w:r w:rsidR="00465073" w:rsidRPr="009355E4">
        <w:rPr>
          <w:rFonts w:eastAsia="Times New Roman" w:cs="Arial"/>
          <w:color w:val="000000" w:themeColor="text1"/>
          <w:lang w:eastAsia="en-AU"/>
        </w:rPr>
        <w:t xml:space="preserve">, including in </w:t>
      </w:r>
      <w:r w:rsidR="00385642" w:rsidRPr="009355E4">
        <w:rPr>
          <w:rFonts w:eastAsia="Times New Roman" w:cs="Arial"/>
          <w:color w:val="000000" w:themeColor="text1"/>
          <w:lang w:eastAsia="en-AU"/>
        </w:rPr>
        <w:t>measurement situations</w:t>
      </w:r>
      <w:r w:rsidRPr="009355E4">
        <w:rPr>
          <w:rFonts w:eastAsia="Times New Roman" w:cs="Arial"/>
          <w:color w:val="000000" w:themeColor="text1"/>
          <w:lang w:eastAsia="en-AU"/>
        </w:rPr>
        <w:t xml:space="preserve">. They </w:t>
      </w:r>
      <w:r w:rsidR="00385642" w:rsidRPr="009355E4">
        <w:rPr>
          <w:rFonts w:eastAsia="Times New Roman" w:cs="Arial"/>
          <w:color w:val="000000" w:themeColor="text1"/>
          <w:lang w:eastAsia="en-AU"/>
        </w:rPr>
        <w:t xml:space="preserve">apply the index laws and </w:t>
      </w:r>
      <w:r w:rsidRPr="009355E4">
        <w:rPr>
          <w:rFonts w:eastAsia="Times New Roman" w:cs="Arial"/>
          <w:color w:val="000000" w:themeColor="text1"/>
          <w:lang w:eastAsia="en-AU"/>
        </w:rPr>
        <w:t xml:space="preserve">extend their algebraic and graphical </w:t>
      </w:r>
      <w:r w:rsidR="009355E4" w:rsidRPr="009355E4">
        <w:rPr>
          <w:rFonts w:eastAsia="Times New Roman" w:cs="Arial"/>
          <w:color w:val="000000" w:themeColor="text1"/>
          <w:lang w:eastAsia="en-AU"/>
        </w:rPr>
        <w:t xml:space="preserve">understanding </w:t>
      </w:r>
      <w:r w:rsidRPr="009355E4">
        <w:rPr>
          <w:rFonts w:eastAsia="Times New Roman" w:cs="Arial"/>
          <w:color w:val="000000" w:themeColor="text1"/>
          <w:lang w:eastAsia="en-AU"/>
        </w:rPr>
        <w:t xml:space="preserve">to include </w:t>
      </w:r>
      <w:r w:rsidR="00385642" w:rsidRPr="009355E4">
        <w:rPr>
          <w:rFonts w:eastAsia="Times New Roman" w:cs="Arial"/>
          <w:color w:val="000000" w:themeColor="text1"/>
          <w:lang w:eastAsia="en-AU"/>
        </w:rPr>
        <w:t xml:space="preserve">inequalities, simultaneous equations and quadratic and </w:t>
      </w:r>
      <w:r w:rsidR="00385642" w:rsidRPr="004F65D2">
        <w:rPr>
          <w:rFonts w:eastAsia="Times New Roman" w:cs="Arial"/>
          <w:color w:val="000000" w:themeColor="text1"/>
          <w:lang w:eastAsia="en-AU"/>
        </w:rPr>
        <w:t>exponential functions.</w:t>
      </w:r>
    </w:p>
    <w:p w14:paraId="79751673" w14:textId="38326969" w:rsidR="00DE3F8C" w:rsidRPr="004F65D2" w:rsidRDefault="009355E4" w:rsidP="00DE3F8C">
      <w:pPr>
        <w:keepLines/>
        <w:shd w:val="clear" w:color="auto" w:fill="FEFEFE"/>
        <w:rPr>
          <w:rFonts w:eastAsia="Times New Roman" w:cs="Arial"/>
          <w:color w:val="000000" w:themeColor="text1"/>
          <w:lang w:eastAsia="en-AU"/>
        </w:rPr>
      </w:pPr>
      <w:r w:rsidRPr="004F65D2">
        <w:rPr>
          <w:rFonts w:eastAsia="Times New Roman" w:cs="Arial"/>
          <w:color w:val="000000" w:themeColor="text1"/>
          <w:lang w:eastAsia="en-AU"/>
        </w:rPr>
        <w:t>Students make connections between measurement and geometry by considering the effect on perimeter, area, volume, capacity and surface area when similar figures and objects are enlarged or reduced. S</w:t>
      </w:r>
      <w:r w:rsidR="00DE3F8C" w:rsidRPr="004F65D2">
        <w:rPr>
          <w:rFonts w:eastAsia="Times New Roman" w:cs="Arial"/>
          <w:color w:val="000000" w:themeColor="text1"/>
          <w:lang w:eastAsia="en-AU"/>
        </w:rPr>
        <w:t xml:space="preserve">tudents use geometric reasoning to </w:t>
      </w:r>
      <w:r w:rsidRPr="004F65D2">
        <w:rPr>
          <w:rFonts w:eastAsia="Times New Roman" w:cs="Arial"/>
          <w:color w:val="000000" w:themeColor="text1"/>
          <w:lang w:eastAsia="en-AU"/>
        </w:rPr>
        <w:t xml:space="preserve">establish conditions for </w:t>
      </w:r>
      <w:r w:rsidR="00DE3F8C" w:rsidRPr="004F65D2">
        <w:rPr>
          <w:rFonts w:eastAsia="Times New Roman" w:cs="Arial"/>
          <w:color w:val="000000" w:themeColor="text1"/>
          <w:lang w:eastAsia="en-AU"/>
        </w:rPr>
        <w:t>similar</w:t>
      </w:r>
      <w:r w:rsidRPr="004F65D2">
        <w:rPr>
          <w:rFonts w:eastAsia="Times New Roman" w:cs="Arial"/>
          <w:color w:val="000000" w:themeColor="text1"/>
          <w:lang w:eastAsia="en-AU"/>
        </w:rPr>
        <w:t xml:space="preserve"> triangles</w:t>
      </w:r>
      <w:r w:rsidR="00DE3F8C" w:rsidRPr="004F65D2">
        <w:rPr>
          <w:rFonts w:eastAsia="Times New Roman" w:cs="Arial"/>
          <w:color w:val="000000" w:themeColor="text1"/>
          <w:lang w:eastAsia="en-AU"/>
        </w:rPr>
        <w:t xml:space="preserve">. They find unknown </w:t>
      </w:r>
      <w:r w:rsidR="004F65D2" w:rsidRPr="004F65D2">
        <w:rPr>
          <w:rFonts w:eastAsia="Times New Roman" w:cs="Arial"/>
          <w:color w:val="000000" w:themeColor="text1"/>
          <w:lang w:eastAsia="en-AU"/>
        </w:rPr>
        <w:t xml:space="preserve">sides and angles </w:t>
      </w:r>
      <w:r w:rsidR="00DE3F8C" w:rsidRPr="004F65D2">
        <w:rPr>
          <w:rFonts w:eastAsia="Times New Roman" w:cs="Arial"/>
          <w:color w:val="000000" w:themeColor="text1"/>
          <w:lang w:eastAsia="en-AU"/>
        </w:rPr>
        <w:t>in right-angled triangles using Pythagoras’ theorem or trigonometry and extend their three</w:t>
      </w:r>
      <w:r w:rsidR="0021739E" w:rsidRPr="004F65D2">
        <w:rPr>
          <w:rFonts w:eastAsia="Times New Roman" w:cs="Arial"/>
          <w:color w:val="000000" w:themeColor="text1"/>
          <w:lang w:eastAsia="en-AU"/>
        </w:rPr>
        <w:noBreakHyphen/>
      </w:r>
      <w:r w:rsidR="00DE3F8C" w:rsidRPr="004F65D2">
        <w:rPr>
          <w:rFonts w:eastAsia="Times New Roman" w:cs="Arial"/>
          <w:color w:val="000000" w:themeColor="text1"/>
          <w:lang w:eastAsia="en-AU"/>
        </w:rPr>
        <w:t xml:space="preserve">dimensional spatial reasoning </w:t>
      </w:r>
      <w:r w:rsidR="00385642" w:rsidRPr="004F65D2">
        <w:rPr>
          <w:rFonts w:eastAsia="Times New Roman" w:cs="Arial"/>
          <w:color w:val="000000" w:themeColor="text1"/>
          <w:lang w:eastAsia="en-AU"/>
        </w:rPr>
        <w:t xml:space="preserve">and use of formula </w:t>
      </w:r>
      <w:r w:rsidR="00DE3F8C" w:rsidRPr="004F65D2">
        <w:rPr>
          <w:rFonts w:eastAsia="Times New Roman" w:cs="Arial"/>
          <w:color w:val="000000" w:themeColor="text1"/>
          <w:lang w:eastAsia="en-AU"/>
        </w:rPr>
        <w:t xml:space="preserve">to include volume, capacity and surface area of composite objects. </w:t>
      </w:r>
    </w:p>
    <w:p w14:paraId="2A5B6CA0" w14:textId="587A34E7" w:rsidR="00DE3F8C" w:rsidRPr="0007057E" w:rsidRDefault="004F65D2" w:rsidP="00DE3F8C">
      <w:pPr>
        <w:keepLines/>
        <w:shd w:val="clear" w:color="auto" w:fill="FEFEFE"/>
        <w:rPr>
          <w:rFonts w:eastAsia="Times New Roman" w:cs="Arial"/>
          <w:lang w:eastAsia="en-AU"/>
        </w:rPr>
      </w:pPr>
      <w:r>
        <w:rPr>
          <w:rFonts w:eastAsia="Times New Roman" w:cs="Arial"/>
          <w:lang w:eastAsia="en-AU"/>
        </w:rPr>
        <w:t>Students</w:t>
      </w:r>
      <w:r w:rsidRPr="0007057E">
        <w:rPr>
          <w:rFonts w:eastAsia="Times New Roman" w:cs="Arial"/>
          <w:lang w:eastAsia="en-AU"/>
        </w:rPr>
        <w:t xml:space="preserve"> connect probability and statistics by </w:t>
      </w:r>
      <w:r>
        <w:rPr>
          <w:rFonts w:eastAsia="Times New Roman" w:cs="Arial"/>
          <w:lang w:eastAsia="en-AU"/>
        </w:rPr>
        <w:t xml:space="preserve">collecting data from </w:t>
      </w:r>
      <w:r w:rsidRPr="0007057E">
        <w:rPr>
          <w:rFonts w:eastAsia="Times New Roman" w:cs="Arial"/>
          <w:lang w:eastAsia="en-AU"/>
        </w:rPr>
        <w:t>two- and three-stage chance experiments and simulations</w:t>
      </w:r>
      <w:r w:rsidR="00B6169F">
        <w:rPr>
          <w:rFonts w:eastAsia="Times New Roman" w:cs="Arial"/>
          <w:lang w:eastAsia="en-AU"/>
        </w:rPr>
        <w:t>,</w:t>
      </w:r>
      <w:r w:rsidRPr="0007057E">
        <w:rPr>
          <w:rFonts w:eastAsia="Times New Roman" w:cs="Arial"/>
          <w:lang w:eastAsia="en-AU"/>
        </w:rPr>
        <w:t xml:space="preserve"> both with and without replacement</w:t>
      </w:r>
      <w:r>
        <w:rPr>
          <w:rFonts w:eastAsia="Times New Roman" w:cs="Arial"/>
          <w:lang w:eastAsia="en-AU"/>
        </w:rPr>
        <w:t xml:space="preserve">, </w:t>
      </w:r>
      <w:r w:rsidR="00B6169F">
        <w:rPr>
          <w:rFonts w:eastAsia="Times New Roman" w:cs="Arial"/>
          <w:lang w:eastAsia="en-AU"/>
        </w:rPr>
        <w:t xml:space="preserve">to model </w:t>
      </w:r>
      <w:r w:rsidRPr="0007057E">
        <w:rPr>
          <w:rFonts w:eastAsia="Times New Roman" w:cs="Arial"/>
          <w:lang w:eastAsia="en-AU"/>
        </w:rPr>
        <w:t>conditional events</w:t>
      </w:r>
      <w:r>
        <w:rPr>
          <w:rFonts w:eastAsia="Times New Roman" w:cs="Arial"/>
          <w:lang w:eastAsia="en-AU"/>
        </w:rPr>
        <w:t>.</w:t>
      </w:r>
      <w:r w:rsidR="00DE3F8C" w:rsidRPr="0007057E">
        <w:rPr>
          <w:rFonts w:eastAsia="Times New Roman" w:cs="Arial"/>
          <w:lang w:eastAsia="en-AU"/>
        </w:rPr>
        <w:t xml:space="preserve"> They interpret, compare key features and analyse</w:t>
      </w:r>
      <w:r w:rsidR="00845FB6">
        <w:rPr>
          <w:rFonts w:eastAsia="Times New Roman" w:cs="Arial"/>
          <w:lang w:eastAsia="en-AU"/>
        </w:rPr>
        <w:t>,</w:t>
      </w:r>
      <w:r w:rsidR="00DE3F8C" w:rsidRPr="0007057E">
        <w:rPr>
          <w:rFonts w:eastAsia="Times New Roman" w:cs="Arial"/>
          <w:lang w:eastAsia="en-AU"/>
        </w:rPr>
        <w:t xml:space="preserve"> multiple boxplots. Students broaden their understanding of analysis to include commenting on association in bivariate and categorical data. Students critically analyse statistical reports in the media and identify potential sources of bias.</w:t>
      </w:r>
      <w:r>
        <w:rPr>
          <w:rFonts w:eastAsia="Times New Roman" w:cs="Arial"/>
          <w:lang w:eastAsia="en-AU"/>
        </w:rPr>
        <w:t xml:space="preserve"> </w:t>
      </w:r>
    </w:p>
    <w:p w14:paraId="00C47EB8" w14:textId="42E94987" w:rsidR="007A14D0" w:rsidRPr="00465073" w:rsidRDefault="00465073" w:rsidP="001F11B0">
      <w:pPr>
        <w:rPr>
          <w:i/>
          <w:iCs/>
        </w:rPr>
      </w:pPr>
      <w:r w:rsidRPr="00465073">
        <w:rPr>
          <w:rFonts w:eastAsia="Times New Roman" w:cs="Arial"/>
          <w:lang w:eastAsia="en-AU"/>
        </w:rPr>
        <w:t>Note: the optional content in Year 10 is intended to build and extend students’ year level knowledge according to areas of interest, understanding of content and preparation for subsequent study. The content descriptions are optional. Teachers may choose from optional content according to the needs of the student/s.</w:t>
      </w:r>
    </w:p>
    <w:sectPr w:rsidR="007A14D0" w:rsidRPr="00465073" w:rsidSect="001F11B0">
      <w:footerReference w:type="default" r:id="rId17"/>
      <w:footerReference w:type="first" r:id="rId18"/>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6D9D" w14:textId="77777777" w:rsidR="001E3F5C" w:rsidRDefault="001E3F5C" w:rsidP="00D762E2">
      <w:pPr>
        <w:spacing w:after="0" w:line="240" w:lineRule="auto"/>
      </w:pPr>
      <w:r>
        <w:separator/>
      </w:r>
    </w:p>
  </w:endnote>
  <w:endnote w:type="continuationSeparator" w:id="0">
    <w:p w14:paraId="4CC927E1" w14:textId="77777777" w:rsidR="001E3F5C" w:rsidRDefault="001E3F5C" w:rsidP="00D7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1A83" w14:textId="64F24F62" w:rsidR="00D762E2" w:rsidRPr="006E5577" w:rsidRDefault="00D762E2" w:rsidP="00D762E2">
    <w:pPr>
      <w:pStyle w:val="Footer"/>
      <w:rPr>
        <w:sz w:val="18"/>
        <w:szCs w:val="18"/>
        <w:lang w:val="en-US"/>
      </w:rPr>
    </w:pPr>
    <w:r>
      <w:rPr>
        <w:sz w:val="18"/>
        <w:szCs w:val="18"/>
      </w:rPr>
      <w:t>2023/47508[v8]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8681" w14:textId="355D319A" w:rsidR="00692E0A" w:rsidRPr="00692E0A" w:rsidRDefault="00692E0A">
    <w:pPr>
      <w:pStyle w:val="Footer"/>
      <w:rPr>
        <w:sz w:val="18"/>
        <w:szCs w:val="18"/>
      </w:rPr>
    </w:pPr>
    <w:r w:rsidRPr="00692E0A">
      <w:rPr>
        <w:sz w:val="18"/>
        <w:szCs w:val="18"/>
      </w:rPr>
      <w:t>2023/47508[v</w:t>
    </w:r>
    <w:r w:rsidR="006730BC">
      <w:rPr>
        <w:sz w:val="18"/>
        <w:szCs w:val="18"/>
      </w:rPr>
      <w:t>10</w:t>
    </w:r>
    <w:r w:rsidRPr="00692E0A">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2695" w14:textId="384BB695" w:rsidR="00D762E2" w:rsidRPr="006E5577" w:rsidRDefault="00D762E2" w:rsidP="00D762E2">
    <w:pPr>
      <w:pStyle w:val="Footer"/>
      <w:rPr>
        <w:sz w:val="18"/>
        <w:szCs w:val="18"/>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1126" w14:textId="197DA9A9" w:rsidR="001F11B0" w:rsidRPr="001F11B0" w:rsidRDefault="001F11B0" w:rsidP="001F11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A156" w14:textId="77777777" w:rsidR="00FB1373" w:rsidRDefault="00FB13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2F58" w14:textId="02036D78" w:rsidR="00BC14B8" w:rsidRPr="00F574D9" w:rsidRDefault="005F3550" w:rsidP="001D1259">
    <w:pPr>
      <w:pStyle w:val="Footer"/>
      <w:tabs>
        <w:tab w:val="clear" w:pos="4513"/>
        <w:tab w:val="clear" w:pos="9026"/>
        <w:tab w:val="right" w:pos="9072"/>
      </w:tabs>
      <w:rPr>
        <w:sz w:val="20"/>
        <w:szCs w:val="20"/>
      </w:rPr>
    </w:pPr>
    <w:r>
      <w:rPr>
        <w:sz w:val="20"/>
        <w:szCs w:val="20"/>
      </w:rPr>
      <w:t xml:space="preserve">Mathematics | </w:t>
    </w:r>
    <w:r w:rsidR="00BC14B8" w:rsidRPr="00F574D9">
      <w:rPr>
        <w:sz w:val="20"/>
        <w:szCs w:val="20"/>
      </w:rPr>
      <w:t xml:space="preserve">Year level descriptions | Pre-primary–Year 10 | </w:t>
    </w:r>
    <w:r w:rsidR="004868CA">
      <w:rPr>
        <w:sz w:val="20"/>
        <w:szCs w:val="20"/>
      </w:rPr>
      <w:t>For familiarisation in 2025</w:t>
    </w:r>
    <w:r w:rsidR="00BC14B8" w:rsidRPr="00F574D9">
      <w:rPr>
        <w:sz w:val="20"/>
        <w:szCs w:val="20"/>
      </w:rPr>
      <w:tab/>
    </w:r>
    <w:r w:rsidR="00BC14B8" w:rsidRPr="00F574D9">
      <w:rPr>
        <w:rStyle w:val="PageNumber"/>
        <w:sz w:val="20"/>
        <w:szCs w:val="20"/>
      </w:rPr>
      <w:fldChar w:fldCharType="begin"/>
    </w:r>
    <w:r w:rsidR="00BC14B8" w:rsidRPr="00F574D9">
      <w:rPr>
        <w:rStyle w:val="PageNumber"/>
        <w:sz w:val="20"/>
        <w:szCs w:val="20"/>
      </w:rPr>
      <w:instrText xml:space="preserve"> PAGE </w:instrText>
    </w:r>
    <w:r w:rsidR="00BC14B8" w:rsidRPr="00F574D9">
      <w:rPr>
        <w:rStyle w:val="PageNumber"/>
        <w:sz w:val="20"/>
        <w:szCs w:val="20"/>
      </w:rPr>
      <w:fldChar w:fldCharType="separate"/>
    </w:r>
    <w:r w:rsidR="00BC14B8" w:rsidRPr="00F574D9">
      <w:rPr>
        <w:rStyle w:val="PageNumber"/>
        <w:sz w:val="20"/>
        <w:szCs w:val="20"/>
      </w:rPr>
      <w:t>1</w:t>
    </w:r>
    <w:r w:rsidR="00BC14B8" w:rsidRPr="00F574D9">
      <w:rPr>
        <w:rStyle w:val="PageNumbe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4D4F" w14:textId="676F0DEF" w:rsidR="001D1259" w:rsidRPr="00BC14B8" w:rsidRDefault="001D1259" w:rsidP="001D1259">
    <w:pPr>
      <w:pStyle w:val="Footer"/>
      <w:tabs>
        <w:tab w:val="clear" w:pos="4513"/>
        <w:tab w:val="clear" w:pos="9026"/>
        <w:tab w:val="right" w:pos="9072"/>
      </w:tabs>
      <w:rPr>
        <w:sz w:val="20"/>
        <w:szCs w:val="20"/>
      </w:rPr>
    </w:pPr>
    <w:r w:rsidRPr="00BC14B8">
      <w:rPr>
        <w:sz w:val="20"/>
        <w:szCs w:val="20"/>
      </w:rPr>
      <w:t xml:space="preserve">Proposed Year level descriptions | Pre-primary–Year 10 | Draft </w:t>
    </w:r>
    <w:r w:rsidR="00BC14B8">
      <w:rPr>
        <w:sz w:val="20"/>
        <w:szCs w:val="20"/>
      </w:rPr>
      <w:t xml:space="preserve">| </w:t>
    </w:r>
    <w:r w:rsidRPr="00BC14B8">
      <w:rPr>
        <w:sz w:val="20"/>
        <w:szCs w:val="20"/>
      </w:rPr>
      <w:t>Not for implementation</w:t>
    </w:r>
    <w:r w:rsidRPr="00BC14B8">
      <w:rPr>
        <w:sz w:val="20"/>
        <w:szCs w:val="20"/>
      </w:rPr>
      <w:tab/>
    </w:r>
    <w:r w:rsidRPr="00BC14B8">
      <w:rPr>
        <w:rStyle w:val="PageNumber"/>
        <w:sz w:val="20"/>
        <w:szCs w:val="20"/>
      </w:rPr>
      <w:fldChar w:fldCharType="begin"/>
    </w:r>
    <w:r w:rsidRPr="00BC14B8">
      <w:rPr>
        <w:rStyle w:val="PageNumber"/>
        <w:sz w:val="20"/>
        <w:szCs w:val="20"/>
      </w:rPr>
      <w:instrText xml:space="preserve"> PAGE </w:instrText>
    </w:r>
    <w:r w:rsidRPr="00BC14B8">
      <w:rPr>
        <w:rStyle w:val="PageNumber"/>
        <w:sz w:val="20"/>
        <w:szCs w:val="20"/>
      </w:rPr>
      <w:fldChar w:fldCharType="separate"/>
    </w:r>
    <w:r w:rsidRPr="00BC14B8">
      <w:rPr>
        <w:rStyle w:val="PageNumber"/>
        <w:sz w:val="20"/>
        <w:szCs w:val="20"/>
      </w:rPr>
      <w:t>2</w:t>
    </w:r>
    <w:r w:rsidRPr="00BC14B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F6F2" w14:textId="77777777" w:rsidR="001E3F5C" w:rsidRDefault="001E3F5C" w:rsidP="00D762E2">
      <w:pPr>
        <w:spacing w:after="0" w:line="240" w:lineRule="auto"/>
      </w:pPr>
      <w:r>
        <w:separator/>
      </w:r>
    </w:p>
  </w:footnote>
  <w:footnote w:type="continuationSeparator" w:id="0">
    <w:p w14:paraId="418E2EA7" w14:textId="77777777" w:rsidR="001E3F5C" w:rsidRDefault="001E3F5C" w:rsidP="00D7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4005" w14:textId="02D7FB0B" w:rsidR="00D762E2" w:rsidRDefault="00D762E2" w:rsidP="00216197">
    <w:pPr>
      <w:pStyle w:val="Header"/>
      <w:tabs>
        <w:tab w:val="clear" w:pos="4513"/>
        <w:tab w:val="clear" w:pos="9026"/>
        <w:tab w:val="left" w:pos="3401"/>
      </w:tabs>
      <w:jc w:val="center"/>
    </w:pPr>
    <w:r>
      <w:rPr>
        <w:noProof/>
      </w:rPr>
      <w:drawing>
        <wp:anchor distT="0" distB="0" distL="114300" distR="114300" simplePos="0" relativeHeight="251657216" behindDoc="0" locked="0" layoutInCell="1" allowOverlap="1" wp14:anchorId="6D03AC8B" wp14:editId="3F697068">
          <wp:simplePos x="898216" y="428878"/>
          <wp:positionH relativeFrom="page">
            <wp:align>center</wp:align>
          </wp:positionH>
          <wp:positionV relativeFrom="paragraph">
            <wp:posOffset>0</wp:posOffset>
          </wp:positionV>
          <wp:extent cx="6192000" cy="554400"/>
          <wp:effectExtent l="0" t="0" r="0" b="0"/>
          <wp:wrapNone/>
          <wp:docPr id="4904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1B4C" w14:textId="3A5C2485" w:rsidR="00D762E2" w:rsidRDefault="004F5C6E" w:rsidP="00216197">
    <w:pPr>
      <w:pStyle w:val="Header"/>
      <w:tabs>
        <w:tab w:val="clear" w:pos="4513"/>
        <w:tab w:val="clear" w:pos="9026"/>
        <w:tab w:val="left" w:pos="3401"/>
      </w:tabs>
    </w:pPr>
    <w:r>
      <w:rPr>
        <w:noProof/>
      </w:rPr>
      <w:pict w14:anchorId="563E3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44.55pt;margin-top:267.3pt;width:412.4pt;height:247.45pt;rotation:315;z-index:-251658240;mso-position-horizontal-relative:margin;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E2"/>
    <w:rsid w:val="000048EF"/>
    <w:rsid w:val="0001416C"/>
    <w:rsid w:val="00086770"/>
    <w:rsid w:val="000A5185"/>
    <w:rsid w:val="000A63CD"/>
    <w:rsid w:val="000C2D90"/>
    <w:rsid w:val="000F6340"/>
    <w:rsid w:val="00106704"/>
    <w:rsid w:val="00110A93"/>
    <w:rsid w:val="00185191"/>
    <w:rsid w:val="001B038D"/>
    <w:rsid w:val="001B6D0D"/>
    <w:rsid w:val="001C5842"/>
    <w:rsid w:val="001C780C"/>
    <w:rsid w:val="001D1259"/>
    <w:rsid w:val="001D46D6"/>
    <w:rsid w:val="001E3F5C"/>
    <w:rsid w:val="001F11B0"/>
    <w:rsid w:val="00216197"/>
    <w:rsid w:val="0021739E"/>
    <w:rsid w:val="00273163"/>
    <w:rsid w:val="002B2083"/>
    <w:rsid w:val="002B6574"/>
    <w:rsid w:val="002C60B8"/>
    <w:rsid w:val="002C7F4C"/>
    <w:rsid w:val="002E665F"/>
    <w:rsid w:val="003063D6"/>
    <w:rsid w:val="003227C4"/>
    <w:rsid w:val="0036722F"/>
    <w:rsid w:val="003727D4"/>
    <w:rsid w:val="00381199"/>
    <w:rsid w:val="00384F1C"/>
    <w:rsid w:val="00385642"/>
    <w:rsid w:val="003A1E65"/>
    <w:rsid w:val="003A5ECE"/>
    <w:rsid w:val="003A65C1"/>
    <w:rsid w:val="003B3C37"/>
    <w:rsid w:val="003D4645"/>
    <w:rsid w:val="004208A9"/>
    <w:rsid w:val="0045375A"/>
    <w:rsid w:val="00456EC0"/>
    <w:rsid w:val="00465073"/>
    <w:rsid w:val="004868CA"/>
    <w:rsid w:val="004B14F0"/>
    <w:rsid w:val="004D1F9D"/>
    <w:rsid w:val="004E3FE7"/>
    <w:rsid w:val="004F5C6E"/>
    <w:rsid w:val="004F65D2"/>
    <w:rsid w:val="00517DC6"/>
    <w:rsid w:val="00523B1B"/>
    <w:rsid w:val="00550ED4"/>
    <w:rsid w:val="005553DD"/>
    <w:rsid w:val="00581CA8"/>
    <w:rsid w:val="00596C8E"/>
    <w:rsid w:val="005A10AF"/>
    <w:rsid w:val="005B2436"/>
    <w:rsid w:val="005D459D"/>
    <w:rsid w:val="005D5E24"/>
    <w:rsid w:val="005F3550"/>
    <w:rsid w:val="00606450"/>
    <w:rsid w:val="00644C33"/>
    <w:rsid w:val="0065625F"/>
    <w:rsid w:val="006730BC"/>
    <w:rsid w:val="00677B8B"/>
    <w:rsid w:val="00692E0A"/>
    <w:rsid w:val="00692FEB"/>
    <w:rsid w:val="006B0A12"/>
    <w:rsid w:val="006E00DD"/>
    <w:rsid w:val="00702781"/>
    <w:rsid w:val="00717B2F"/>
    <w:rsid w:val="00732359"/>
    <w:rsid w:val="007412B7"/>
    <w:rsid w:val="007A14D0"/>
    <w:rsid w:val="007A7378"/>
    <w:rsid w:val="00816CF4"/>
    <w:rsid w:val="00840545"/>
    <w:rsid w:val="00845FB6"/>
    <w:rsid w:val="0087077D"/>
    <w:rsid w:val="008B00AB"/>
    <w:rsid w:val="008B5F02"/>
    <w:rsid w:val="008E6082"/>
    <w:rsid w:val="008F0EBE"/>
    <w:rsid w:val="008F283B"/>
    <w:rsid w:val="00932404"/>
    <w:rsid w:val="009355E4"/>
    <w:rsid w:val="00936874"/>
    <w:rsid w:val="00944BE4"/>
    <w:rsid w:val="0096170D"/>
    <w:rsid w:val="009733C0"/>
    <w:rsid w:val="00A21CFF"/>
    <w:rsid w:val="00A3725C"/>
    <w:rsid w:val="00AB108A"/>
    <w:rsid w:val="00AC2695"/>
    <w:rsid w:val="00AC302C"/>
    <w:rsid w:val="00B6169F"/>
    <w:rsid w:val="00B80C12"/>
    <w:rsid w:val="00BC14B8"/>
    <w:rsid w:val="00C31A6D"/>
    <w:rsid w:val="00C40467"/>
    <w:rsid w:val="00C550D2"/>
    <w:rsid w:val="00C5700D"/>
    <w:rsid w:val="00C721DA"/>
    <w:rsid w:val="00C97BC5"/>
    <w:rsid w:val="00CB099B"/>
    <w:rsid w:val="00CC2FF5"/>
    <w:rsid w:val="00CC69CD"/>
    <w:rsid w:val="00CE55FB"/>
    <w:rsid w:val="00CE5B69"/>
    <w:rsid w:val="00CE7055"/>
    <w:rsid w:val="00D26BCE"/>
    <w:rsid w:val="00D762E2"/>
    <w:rsid w:val="00D96D3A"/>
    <w:rsid w:val="00DC0797"/>
    <w:rsid w:val="00DC536F"/>
    <w:rsid w:val="00DE3F8C"/>
    <w:rsid w:val="00DE4116"/>
    <w:rsid w:val="00DF7246"/>
    <w:rsid w:val="00DF7ACC"/>
    <w:rsid w:val="00E322CB"/>
    <w:rsid w:val="00E407C9"/>
    <w:rsid w:val="00EB039F"/>
    <w:rsid w:val="00EB0A13"/>
    <w:rsid w:val="00ED3C95"/>
    <w:rsid w:val="00EE0FED"/>
    <w:rsid w:val="00EF36AC"/>
    <w:rsid w:val="00F26FCC"/>
    <w:rsid w:val="00F574D9"/>
    <w:rsid w:val="00F73743"/>
    <w:rsid w:val="00F95DD5"/>
    <w:rsid w:val="00FA5796"/>
    <w:rsid w:val="00FB1373"/>
    <w:rsid w:val="00FE46F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0CD2F"/>
  <w15:chartTrackingRefBased/>
  <w15:docId w15:val="{55044408-5C44-4BDA-B7C0-2BA94E7F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B0"/>
    <w:pPr>
      <w:spacing w:after="120" w:line="276" w:lineRule="auto"/>
    </w:pPr>
    <w:rPr>
      <w:sz w:val="22"/>
      <w:szCs w:val="22"/>
    </w:rPr>
  </w:style>
  <w:style w:type="paragraph" w:styleId="Heading1">
    <w:name w:val="heading 1"/>
    <w:basedOn w:val="Normal"/>
    <w:next w:val="Normal"/>
    <w:link w:val="Heading1Char"/>
    <w:autoRedefine/>
    <w:uiPriority w:val="9"/>
    <w:qFormat/>
    <w:rsid w:val="00AB108A"/>
    <w:pPr>
      <w:keepNext/>
      <w:keepLines/>
      <w:spacing w:before="360" w:after="80"/>
      <w:outlineLvl w:val="0"/>
    </w:pPr>
    <w:rPr>
      <w:rFonts w:asciiTheme="majorHAnsi" w:eastAsiaTheme="majorEastAsia" w:hAnsiTheme="majorHAnsi" w:cstheme="majorBidi"/>
      <w:b/>
      <w:color w:val="7030A0"/>
      <w:sz w:val="32"/>
      <w:szCs w:val="32"/>
    </w:rPr>
  </w:style>
  <w:style w:type="paragraph" w:styleId="Heading2">
    <w:name w:val="heading 2"/>
    <w:basedOn w:val="Normal"/>
    <w:next w:val="Normal"/>
    <w:link w:val="Heading2Char"/>
    <w:uiPriority w:val="9"/>
    <w:semiHidden/>
    <w:unhideWhenUsed/>
    <w:qFormat/>
    <w:rsid w:val="00D7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8A"/>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semiHidden/>
    <w:rsid w:val="00D7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E2"/>
    <w:rPr>
      <w:rFonts w:eastAsiaTheme="majorEastAsia" w:cstheme="majorBidi"/>
      <w:color w:val="272727" w:themeColor="text1" w:themeTint="D8"/>
    </w:rPr>
  </w:style>
  <w:style w:type="paragraph" w:styleId="Title">
    <w:name w:val="Title"/>
    <w:basedOn w:val="Normal"/>
    <w:next w:val="Normal"/>
    <w:link w:val="TitleChar"/>
    <w:uiPriority w:val="10"/>
    <w:qFormat/>
    <w:rsid w:val="00D7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E2"/>
    <w:pPr>
      <w:spacing w:before="160"/>
      <w:jc w:val="center"/>
    </w:pPr>
    <w:rPr>
      <w:i/>
      <w:iCs/>
      <w:color w:val="404040" w:themeColor="text1" w:themeTint="BF"/>
    </w:rPr>
  </w:style>
  <w:style w:type="character" w:customStyle="1" w:styleId="QuoteChar">
    <w:name w:val="Quote Char"/>
    <w:basedOn w:val="DefaultParagraphFont"/>
    <w:link w:val="Quote"/>
    <w:uiPriority w:val="29"/>
    <w:rsid w:val="00D762E2"/>
    <w:rPr>
      <w:i/>
      <w:iCs/>
      <w:color w:val="404040" w:themeColor="text1" w:themeTint="BF"/>
    </w:rPr>
  </w:style>
  <w:style w:type="paragraph" w:styleId="ListParagraph">
    <w:name w:val="List Paragraph"/>
    <w:basedOn w:val="Normal"/>
    <w:uiPriority w:val="34"/>
    <w:qFormat/>
    <w:rsid w:val="00D762E2"/>
    <w:pPr>
      <w:ind w:left="720"/>
      <w:contextualSpacing/>
    </w:pPr>
  </w:style>
  <w:style w:type="character" w:styleId="IntenseEmphasis">
    <w:name w:val="Intense Emphasis"/>
    <w:basedOn w:val="DefaultParagraphFont"/>
    <w:uiPriority w:val="21"/>
    <w:qFormat/>
    <w:rsid w:val="00D762E2"/>
    <w:rPr>
      <w:i/>
      <w:iCs/>
      <w:color w:val="0F4761" w:themeColor="accent1" w:themeShade="BF"/>
    </w:rPr>
  </w:style>
  <w:style w:type="paragraph" w:styleId="IntenseQuote">
    <w:name w:val="Intense Quote"/>
    <w:basedOn w:val="Normal"/>
    <w:next w:val="Normal"/>
    <w:link w:val="IntenseQuoteChar"/>
    <w:uiPriority w:val="30"/>
    <w:qFormat/>
    <w:rsid w:val="00D7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2E2"/>
    <w:rPr>
      <w:i/>
      <w:iCs/>
      <w:color w:val="0F4761" w:themeColor="accent1" w:themeShade="BF"/>
    </w:rPr>
  </w:style>
  <w:style w:type="character" w:styleId="IntenseReference">
    <w:name w:val="Intense Reference"/>
    <w:basedOn w:val="DefaultParagraphFont"/>
    <w:uiPriority w:val="32"/>
    <w:qFormat/>
    <w:rsid w:val="00D762E2"/>
    <w:rPr>
      <w:b/>
      <w:bCs/>
      <w:smallCaps/>
      <w:color w:val="0F4761" w:themeColor="accent1" w:themeShade="BF"/>
      <w:spacing w:val="5"/>
    </w:rPr>
  </w:style>
  <w:style w:type="paragraph" w:styleId="Header">
    <w:name w:val="header"/>
    <w:basedOn w:val="Normal"/>
    <w:link w:val="HeaderChar"/>
    <w:uiPriority w:val="99"/>
    <w:unhideWhenUsed/>
    <w:rsid w:val="00D76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2E2"/>
  </w:style>
  <w:style w:type="paragraph" w:styleId="Footer">
    <w:name w:val="footer"/>
    <w:basedOn w:val="Normal"/>
    <w:link w:val="FooterChar"/>
    <w:uiPriority w:val="99"/>
    <w:unhideWhenUsed/>
    <w:rsid w:val="00D76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E2"/>
  </w:style>
  <w:style w:type="paragraph" w:customStyle="1" w:styleId="SCSATitle1">
    <w:name w:val="SCSA Title 1"/>
    <w:basedOn w:val="Normal"/>
    <w:qFormat/>
    <w:rsid w:val="007A14D0"/>
    <w:pPr>
      <w:spacing w:before="3480" w:after="480" w:line="240" w:lineRule="auto"/>
    </w:pPr>
    <w:rPr>
      <w:rFonts w:cs="Calibri"/>
      <w:b/>
      <w:color w:val="F26A21"/>
      <w:kern w:val="0"/>
      <w:sz w:val="64"/>
      <w:szCs w:val="64"/>
      <w:lang w:eastAsia="en-US" w:bidi="ar-SA"/>
      <w14:ligatures w14:val="none"/>
    </w:rPr>
  </w:style>
  <w:style w:type="paragraph" w:customStyle="1" w:styleId="SCSATitle2">
    <w:name w:val="SCSA Title 2"/>
    <w:basedOn w:val="Normal"/>
    <w:qFormat/>
    <w:rsid w:val="007A14D0"/>
    <w:pPr>
      <w:keepNext/>
      <w:keepLines/>
      <w:pBdr>
        <w:bottom w:val="single" w:sz="4" w:space="1" w:color="F26A21"/>
      </w:pBdr>
      <w:spacing w:before="480" w:after="0"/>
      <w:ind w:right="95"/>
    </w:pPr>
    <w:rPr>
      <w:rFonts w:ascii="Calibri" w:eastAsia="MS Gothic" w:hAnsi="Calibri" w:cs="Calibri"/>
      <w:b/>
      <w:kern w:val="0"/>
      <w:sz w:val="52"/>
      <w:szCs w:val="26"/>
      <w:lang w:eastAsia="en-AU" w:bidi="ar-SA"/>
      <w14:ligatures w14:val="none"/>
    </w:rPr>
  </w:style>
  <w:style w:type="paragraph" w:customStyle="1" w:styleId="SCSATitle3">
    <w:name w:val="SCSA Title 3"/>
    <w:basedOn w:val="Normal"/>
    <w:qFormat/>
    <w:rsid w:val="007A14D0"/>
    <w:pPr>
      <w:spacing w:before="120" w:line="240" w:lineRule="auto"/>
    </w:pPr>
    <w:rPr>
      <w:rFonts w:cs="Calibri"/>
      <w:kern w:val="0"/>
      <w:sz w:val="44"/>
      <w:szCs w:val="48"/>
      <w:bdr w:val="nil"/>
      <w:lang w:eastAsia="en-US" w:bidi="ar-SA"/>
      <w14:ligatures w14:val="none"/>
    </w:rPr>
  </w:style>
  <w:style w:type="character" w:styleId="Hyperlink">
    <w:name w:val="Hyperlink"/>
    <w:basedOn w:val="DefaultParagraphFont"/>
    <w:uiPriority w:val="99"/>
    <w:unhideWhenUsed/>
    <w:rsid w:val="00D762E2"/>
    <w:rPr>
      <w:color w:val="580F8B"/>
      <w:u w:val="single"/>
    </w:rPr>
  </w:style>
  <w:style w:type="character" w:styleId="UnresolvedMention">
    <w:name w:val="Unresolved Mention"/>
    <w:basedOn w:val="DefaultParagraphFont"/>
    <w:uiPriority w:val="99"/>
    <w:semiHidden/>
    <w:unhideWhenUsed/>
    <w:rsid w:val="00D762E2"/>
    <w:rPr>
      <w:color w:val="605E5C"/>
      <w:shd w:val="clear" w:color="auto" w:fill="E1DFDD"/>
    </w:rPr>
  </w:style>
  <w:style w:type="paragraph" w:styleId="Revision">
    <w:name w:val="Revision"/>
    <w:hidden/>
    <w:uiPriority w:val="99"/>
    <w:semiHidden/>
    <w:rsid w:val="00D762E2"/>
    <w:pPr>
      <w:spacing w:after="0" w:line="240" w:lineRule="auto"/>
    </w:pPr>
    <w:rPr>
      <w:sz w:val="22"/>
      <w:szCs w:val="22"/>
    </w:rPr>
  </w:style>
  <w:style w:type="character" w:styleId="CommentReference">
    <w:name w:val="annotation reference"/>
    <w:basedOn w:val="DefaultParagraphFont"/>
    <w:uiPriority w:val="99"/>
    <w:semiHidden/>
    <w:unhideWhenUsed/>
    <w:rsid w:val="00D762E2"/>
    <w:rPr>
      <w:sz w:val="16"/>
      <w:szCs w:val="16"/>
    </w:rPr>
  </w:style>
  <w:style w:type="paragraph" w:styleId="CommentText">
    <w:name w:val="annotation text"/>
    <w:basedOn w:val="Normal"/>
    <w:link w:val="CommentTextChar"/>
    <w:uiPriority w:val="99"/>
    <w:unhideWhenUsed/>
    <w:rsid w:val="00D762E2"/>
    <w:pPr>
      <w:spacing w:line="240" w:lineRule="auto"/>
    </w:pPr>
    <w:rPr>
      <w:rFonts w:eastAsiaTheme="minorHAnsi"/>
      <w:sz w:val="20"/>
      <w:szCs w:val="20"/>
      <w:lang w:eastAsia="en-US" w:bidi="ar-SA"/>
    </w:rPr>
  </w:style>
  <w:style w:type="character" w:customStyle="1" w:styleId="CommentTextChar">
    <w:name w:val="Comment Text Char"/>
    <w:basedOn w:val="DefaultParagraphFont"/>
    <w:link w:val="CommentText"/>
    <w:uiPriority w:val="99"/>
    <w:rsid w:val="00D762E2"/>
    <w:rPr>
      <w:rFonts w:eastAsiaTheme="minorHAnsi"/>
      <w:sz w:val="20"/>
      <w:szCs w:val="20"/>
      <w:lang w:eastAsia="en-US" w:bidi="ar-SA"/>
    </w:rPr>
  </w:style>
  <w:style w:type="table" w:customStyle="1" w:styleId="SCSATable">
    <w:name w:val="SCSA Table"/>
    <w:basedOn w:val="TableNormal"/>
    <w:uiPriority w:val="99"/>
    <w:rsid w:val="007A14D0"/>
    <w:pPr>
      <w:spacing w:after="0" w:line="240" w:lineRule="auto"/>
    </w:pPr>
    <w:rPr>
      <w:rFonts w:eastAsiaTheme="minorHAnsi"/>
      <w:sz w:val="20"/>
      <w:szCs w:val="22"/>
      <w:lang w:eastAsia="en-US" w:bidi="ar-SA"/>
    </w:rPr>
    <w:tblP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CellMar>
        <w:top w:w="113" w:type="dxa"/>
        <w:bottom w:w="113" w:type="dxa"/>
      </w:tblCellMar>
    </w:tblPr>
    <w:tblStylePr w:type="firstRow">
      <w:rPr>
        <w:rFonts w:asciiTheme="minorHAnsi" w:hAnsiTheme="minorHAnsi"/>
        <w:b/>
        <w:i w:val="0"/>
        <w:color w:val="E97132" w:themeColor="accent2"/>
        <w:sz w:val="24"/>
      </w:rPr>
    </w:tblStylePr>
  </w:style>
  <w:style w:type="paragraph" w:customStyle="1" w:styleId="SCSAHeading1">
    <w:name w:val="SCSA Heading 1"/>
    <w:basedOn w:val="Normal"/>
    <w:rsid w:val="007A14D0"/>
    <w:pPr>
      <w:pBdr>
        <w:top w:val="nil"/>
        <w:left w:val="nil"/>
        <w:bottom w:val="nil"/>
        <w:right w:val="nil"/>
        <w:between w:val="nil"/>
        <w:bar w:val="nil"/>
      </w:pBdr>
      <w:outlineLvl w:val="0"/>
    </w:pPr>
    <w:rPr>
      <w:rFonts w:cs="Times New Roman"/>
      <w:b/>
      <w:color w:val="F26A21"/>
      <w:kern w:val="0"/>
      <w:sz w:val="32"/>
      <w:szCs w:val="24"/>
      <w:bdr w:val="nil"/>
      <w:lang w:eastAsia="en-US" w:bidi="ar-SA"/>
      <w14:ligatures w14:val="none"/>
    </w:rPr>
  </w:style>
  <w:style w:type="paragraph" w:customStyle="1" w:styleId="SCSAHeading2">
    <w:name w:val="SCSA Heading 2"/>
    <w:basedOn w:val="Normal"/>
    <w:qFormat/>
    <w:rsid w:val="007A14D0"/>
    <w:pPr>
      <w:pBdr>
        <w:top w:val="nil"/>
        <w:left w:val="nil"/>
        <w:bottom w:val="nil"/>
        <w:right w:val="nil"/>
        <w:between w:val="nil"/>
        <w:bar w:val="nil"/>
      </w:pBdr>
      <w:outlineLvl w:val="1"/>
    </w:pPr>
    <w:rPr>
      <w:rFonts w:cs="Times New Roman"/>
      <w:b/>
      <w:color w:val="E97132" w:themeColor="accent2"/>
      <w:kern w:val="0"/>
      <w:sz w:val="24"/>
      <w:szCs w:val="24"/>
      <w:bdr w:val="nil"/>
      <w:lang w:eastAsia="en-US" w:bidi="ar-SA"/>
      <w14:ligatures w14:val="none"/>
    </w:rPr>
  </w:style>
  <w:style w:type="paragraph" w:customStyle="1" w:styleId="SCSATOCHeading">
    <w:name w:val="SCSA TOC Heading"/>
    <w:basedOn w:val="SCSAHeading1"/>
    <w:rsid w:val="007A14D0"/>
    <w:pPr>
      <w:outlineLvl w:val="9"/>
    </w:pPr>
  </w:style>
  <w:style w:type="paragraph" w:styleId="TOC1">
    <w:name w:val="toc 1"/>
    <w:basedOn w:val="Normal"/>
    <w:next w:val="Normal"/>
    <w:autoRedefine/>
    <w:uiPriority w:val="39"/>
    <w:unhideWhenUsed/>
    <w:rsid w:val="007A14D0"/>
    <w:pPr>
      <w:spacing w:after="100"/>
    </w:pPr>
    <w:rPr>
      <w:rFonts w:eastAsiaTheme="minorHAnsi"/>
      <w:lang w:eastAsia="en-US" w:bidi="ar-SA"/>
    </w:rPr>
  </w:style>
  <w:style w:type="paragraph" w:styleId="TOC2">
    <w:name w:val="toc 2"/>
    <w:basedOn w:val="Normal"/>
    <w:next w:val="Normal"/>
    <w:autoRedefine/>
    <w:uiPriority w:val="39"/>
    <w:unhideWhenUsed/>
    <w:rsid w:val="007A14D0"/>
    <w:pPr>
      <w:spacing w:after="100"/>
      <w:ind w:left="220"/>
    </w:pPr>
    <w:rPr>
      <w:rFonts w:eastAsiaTheme="minorHAnsi"/>
      <w:lang w:eastAsia="en-US" w:bidi="ar-SA"/>
    </w:rPr>
  </w:style>
  <w:style w:type="paragraph" w:styleId="TOC3">
    <w:name w:val="toc 3"/>
    <w:basedOn w:val="Normal"/>
    <w:next w:val="Normal"/>
    <w:autoRedefine/>
    <w:uiPriority w:val="39"/>
    <w:unhideWhenUsed/>
    <w:rsid w:val="007A14D0"/>
    <w:pPr>
      <w:spacing w:after="100"/>
      <w:ind w:left="440"/>
    </w:pPr>
    <w:rPr>
      <w:rFonts w:eastAsiaTheme="minorHAnsi"/>
      <w:lang w:eastAsia="en-US" w:bidi="ar-SA"/>
    </w:rPr>
  </w:style>
  <w:style w:type="character" w:styleId="PageNumber">
    <w:name w:val="page number"/>
    <w:basedOn w:val="DefaultParagraphFont"/>
    <w:uiPriority w:val="99"/>
    <w:semiHidden/>
    <w:unhideWhenUsed/>
    <w:rsid w:val="00FB1373"/>
  </w:style>
  <w:style w:type="table" w:styleId="TableGrid">
    <w:name w:val="Table Grid"/>
    <w:basedOn w:val="TableNormal"/>
    <w:uiPriority w:val="39"/>
    <w:rsid w:val="006730BC"/>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k10outline.scsa.wa.edu.au/home/teaching/early-years/early-years-learning-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k10outline.scsa.wa.edu.au/home/teaching/early-years/early-years-learning-framewor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B509-4735-4E6F-8D4E-371A82FC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16</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Dorosz</dc:creator>
  <cp:keywords/>
  <dc:description/>
  <cp:lastModifiedBy>Juanita Healy</cp:lastModifiedBy>
  <cp:revision>27</cp:revision>
  <cp:lastPrinted>2024-12-13T02:35:00Z</cp:lastPrinted>
  <dcterms:created xsi:type="dcterms:W3CDTF">2024-12-13T02:36:00Z</dcterms:created>
  <dcterms:modified xsi:type="dcterms:W3CDTF">2025-01-22T11:09:00Z</dcterms:modified>
</cp:coreProperties>
</file>